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3A005F">
        <w:rPr>
          <w:rFonts w:ascii="Times New Roman" w:hAnsi="Times New Roman" w:cs="Times New Roman"/>
          <w:b/>
          <w:sz w:val="24"/>
          <w:szCs w:val="24"/>
        </w:rPr>
        <w:t>051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3A005F">
        <w:rPr>
          <w:rFonts w:ascii="Times New Roman" w:hAnsi="Times New Roman" w:cs="Times New Roman"/>
          <w:b/>
          <w:sz w:val="24"/>
          <w:szCs w:val="24"/>
        </w:rPr>
        <w:t>227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149C9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3A005F" w:rsidRPr="003A005F">
        <w:rPr>
          <w:rFonts w:ascii="Times New Roman" w:hAnsi="Times New Roman" w:cs="Times New Roman"/>
          <w:sz w:val="24"/>
          <w:szCs w:val="24"/>
        </w:rPr>
        <w:t xml:space="preserve">revitalização da </w:t>
      </w:r>
      <w:r w:rsidR="003A005F" w:rsidRPr="003A005F">
        <w:rPr>
          <w:rFonts w:ascii="Times New Roman" w:hAnsi="Times New Roman" w:cs="Times New Roman"/>
          <w:b/>
          <w:sz w:val="24"/>
          <w:szCs w:val="24"/>
        </w:rPr>
        <w:t>Praça Tânia Cardoso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3A005F">
        <w:rPr>
          <w:rFonts w:ascii="Times New Roman" w:hAnsi="Times New Roman" w:cs="Times New Roman"/>
          <w:b/>
          <w:sz w:val="24"/>
          <w:szCs w:val="24"/>
        </w:rPr>
        <w:t>051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</w:t>
      </w:r>
      <w:r w:rsidR="00464BF8">
        <w:rPr>
          <w:rFonts w:ascii="Times New Roman" w:hAnsi="Times New Roman" w:cs="Times New Roman"/>
          <w:sz w:val="24"/>
          <w:szCs w:val="24"/>
        </w:rPr>
        <w:t xml:space="preserve">de </w:t>
      </w:r>
      <w:r w:rsidR="00464BF8" w:rsidRPr="00464BF8">
        <w:rPr>
          <w:rFonts w:ascii="Times New Roman" w:hAnsi="Times New Roman" w:cs="Times New Roman"/>
          <w:sz w:val="24"/>
          <w:szCs w:val="24"/>
        </w:rPr>
        <w:t xml:space="preserve">revitalização da </w:t>
      </w:r>
      <w:r w:rsidR="00464BF8" w:rsidRPr="00464BF8">
        <w:rPr>
          <w:rFonts w:ascii="Times New Roman" w:hAnsi="Times New Roman" w:cs="Times New Roman"/>
          <w:b/>
          <w:sz w:val="24"/>
          <w:szCs w:val="24"/>
        </w:rPr>
        <w:t>Praça Tânia Cardoso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C861AD">
        <w:rPr>
          <w:rFonts w:ascii="Times New Roman" w:hAnsi="Times New Roman" w:cs="Times New Roman"/>
          <w:sz w:val="24"/>
          <w:szCs w:val="24"/>
        </w:rPr>
        <w:t xml:space="preserve">tado por seu Prefeito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6C094B" w:rsidRPr="002F32CB">
        <w:rPr>
          <w:rFonts w:ascii="Times New Roman" w:hAnsi="Times New Roman" w:cs="Times New Roman"/>
          <w:sz w:val="24"/>
          <w:szCs w:val="24"/>
        </w:rPr>
        <w:t>RONALDO COSTA MADRUGA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B386B">
        <w:rPr>
          <w:rFonts w:ascii="Times New Roman" w:hAnsi="Times New Roman" w:cs="Times New Roman"/>
          <w:sz w:val="24"/>
          <w:szCs w:val="24"/>
        </w:rPr>
        <w:t xml:space="preserve">portando Cédula de Identidade n°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3A005F">
        <w:rPr>
          <w:rFonts w:ascii="Times New Roman" w:hAnsi="Times New Roman" w:cs="Times New Roman"/>
          <w:b/>
          <w:sz w:val="24"/>
          <w:szCs w:val="24"/>
        </w:rPr>
        <w:t>227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464BF8" w:rsidRPr="00464BF8">
        <w:rPr>
          <w:rFonts w:ascii="Times New Roman" w:hAnsi="Times New Roman" w:cs="Times New Roman"/>
          <w:sz w:val="24"/>
          <w:szCs w:val="24"/>
        </w:rPr>
        <w:t xml:space="preserve">de revitalização da </w:t>
      </w:r>
      <w:r w:rsidR="00464BF8" w:rsidRPr="00E67D01">
        <w:rPr>
          <w:rFonts w:ascii="Times New Roman" w:hAnsi="Times New Roman" w:cs="Times New Roman"/>
          <w:b/>
          <w:sz w:val="24"/>
          <w:szCs w:val="24"/>
        </w:rPr>
        <w:t>Praça Tânia Cardoso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7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E67D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três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E67D01" w:rsidRPr="00E67D01">
        <w:rPr>
          <w:rFonts w:ascii="Times New Roman" w:hAnsi="Times New Roman" w:cs="Times New Roman"/>
          <w:b/>
          <w:sz w:val="24"/>
          <w:szCs w:val="24"/>
        </w:rPr>
        <w:t>79.623,35</w:t>
      </w:r>
      <w:r w:rsidR="00E67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D01" w:rsidRPr="00E67D01">
        <w:rPr>
          <w:rFonts w:ascii="Times New Roman" w:hAnsi="Times New Roman" w:cs="Times New Roman"/>
          <w:b/>
          <w:sz w:val="24"/>
          <w:szCs w:val="24"/>
        </w:rPr>
        <w:t xml:space="preserve">(setenta e nove mil seiscentos e vinte e três reais </w:t>
      </w:r>
      <w:r w:rsidR="00E67D01">
        <w:rPr>
          <w:rFonts w:ascii="Times New Roman" w:hAnsi="Times New Roman" w:cs="Times New Roman"/>
          <w:b/>
          <w:sz w:val="24"/>
          <w:szCs w:val="24"/>
        </w:rPr>
        <w:t>com</w:t>
      </w:r>
      <w:r w:rsidR="00E67D01" w:rsidRPr="00E67D01">
        <w:rPr>
          <w:rFonts w:ascii="Times New Roman" w:hAnsi="Times New Roman" w:cs="Times New Roman"/>
          <w:b/>
          <w:sz w:val="24"/>
          <w:szCs w:val="24"/>
        </w:rPr>
        <w:t xml:space="preserve"> trinta e cinco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>4.2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Pr="00C26678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3F1210" w:rsidRPr="003F1210">
        <w:rPr>
          <w:rFonts w:ascii="Times New Roman" w:hAnsi="Times New Roman" w:cs="Times New Roman"/>
          <w:sz w:val="24"/>
          <w:szCs w:val="24"/>
        </w:rPr>
        <w:t>Bernardo da Silva Borges, Técnico do Município</w:t>
      </w:r>
      <w:bookmarkStart w:id="0" w:name="_GoBack"/>
      <w:bookmarkEnd w:id="0"/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46347B">
        <w:rPr>
          <w:rFonts w:ascii="Times New Roman" w:hAnsi="Times New Roman" w:cs="Times New Roman"/>
          <w:sz w:val="24"/>
          <w:szCs w:val="24"/>
        </w:rPr>
        <w:t>14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3CE8"/>
    <w:rsid w:val="000179C7"/>
    <w:rsid w:val="00025DEB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2963"/>
    <w:rsid w:val="003631F7"/>
    <w:rsid w:val="0038198E"/>
    <w:rsid w:val="00383E2B"/>
    <w:rsid w:val="003968DA"/>
    <w:rsid w:val="00397868"/>
    <w:rsid w:val="003A005F"/>
    <w:rsid w:val="003A58FB"/>
    <w:rsid w:val="003B02A9"/>
    <w:rsid w:val="003B5567"/>
    <w:rsid w:val="003B722C"/>
    <w:rsid w:val="003C4DB3"/>
    <w:rsid w:val="003E164D"/>
    <w:rsid w:val="003E2BA0"/>
    <w:rsid w:val="003F121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64BF8"/>
    <w:rsid w:val="0047088A"/>
    <w:rsid w:val="00495199"/>
    <w:rsid w:val="00497728"/>
    <w:rsid w:val="004A040B"/>
    <w:rsid w:val="004B2FE7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60E4C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26113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81CDF"/>
    <w:rsid w:val="009928C1"/>
    <w:rsid w:val="0099609B"/>
    <w:rsid w:val="009A0BF3"/>
    <w:rsid w:val="009B5D7E"/>
    <w:rsid w:val="009D3015"/>
    <w:rsid w:val="009D30CF"/>
    <w:rsid w:val="009E7C7E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43513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861AD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141"/>
    <w:rsid w:val="00D1058B"/>
    <w:rsid w:val="00D140BF"/>
    <w:rsid w:val="00D14613"/>
    <w:rsid w:val="00D2276F"/>
    <w:rsid w:val="00D229C3"/>
    <w:rsid w:val="00D6333E"/>
    <w:rsid w:val="00D706A0"/>
    <w:rsid w:val="00D748AE"/>
    <w:rsid w:val="00D946D2"/>
    <w:rsid w:val="00DE1D4F"/>
    <w:rsid w:val="00DE5B55"/>
    <w:rsid w:val="00DF1068"/>
    <w:rsid w:val="00E20F84"/>
    <w:rsid w:val="00E23CCF"/>
    <w:rsid w:val="00E272EB"/>
    <w:rsid w:val="00E31645"/>
    <w:rsid w:val="00E331B5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0548"/>
    <w:rsid w:val="00F818C9"/>
    <w:rsid w:val="00F820F8"/>
    <w:rsid w:val="00F82B18"/>
    <w:rsid w:val="00F904C4"/>
    <w:rsid w:val="00F91227"/>
    <w:rsid w:val="00F912B6"/>
    <w:rsid w:val="00F91C88"/>
    <w:rsid w:val="00F93D25"/>
    <w:rsid w:val="00FB203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35A46-B64E-4F36-A901-FF45309D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2729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78</cp:revision>
  <cp:lastPrinted>2021-06-11T17:34:00Z</cp:lastPrinted>
  <dcterms:created xsi:type="dcterms:W3CDTF">2022-10-13T12:13:00Z</dcterms:created>
  <dcterms:modified xsi:type="dcterms:W3CDTF">2022-10-18T13:15:00Z</dcterms:modified>
</cp:coreProperties>
</file>