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BB75A5">
        <w:rPr>
          <w:rFonts w:ascii="Arial" w:hAnsi="Arial" w:cs="Arial"/>
          <w:b/>
          <w:color w:val="000000" w:themeColor="text1"/>
          <w:spacing w:val="2"/>
        </w:rPr>
        <w:t>110</w:t>
      </w:r>
      <w:r w:rsidR="007810ED">
        <w:rPr>
          <w:rFonts w:ascii="Arial" w:hAnsi="Arial" w:cs="Arial"/>
          <w:b/>
          <w:color w:val="000000" w:themeColor="text1"/>
          <w:spacing w:val="2"/>
        </w:rPr>
        <w:t>/2022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sidR="00BB75A5">
        <w:rPr>
          <w:rFonts w:ascii="Arial" w:hAnsi="Arial" w:cs="Arial"/>
          <w:color w:val="000000" w:themeColor="text1"/>
        </w:rPr>
        <w:t>122</w:t>
      </w:r>
      <w:r>
        <w:rPr>
          <w:rFonts w:ascii="Arial" w:hAnsi="Arial" w:cs="Arial"/>
          <w:color w:val="000000" w:themeColor="text1"/>
        </w:rPr>
        <w:t>/2022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gêneros alimentícios, destinados a atender às necessidades do PNAE,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BB75A5">
        <w:rPr>
          <w:rFonts w:ascii="Arial" w:hAnsi="Arial" w:cs="Arial"/>
          <w:b/>
          <w:color w:val="000000" w:themeColor="text1"/>
        </w:rPr>
        <w:t>26/05/2022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BB75A5">
        <w:rPr>
          <w:rFonts w:ascii="Arial" w:hAnsi="Arial" w:cs="Arial"/>
          <w:b/>
          <w:color w:val="000000" w:themeColor="text1"/>
        </w:rPr>
        <w:t>26/05/2022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10:01</w:t>
      </w:r>
      <w:proofErr w:type="gramEnd"/>
      <w:r w:rsidRPr="007C03C9">
        <w:rPr>
          <w:rFonts w:ascii="Arial" w:hAnsi="Arial" w:cs="Arial"/>
          <w:b/>
          <w:color w:val="000000" w:themeColor="text1"/>
        </w:rPr>
        <w:t xml:space="preserve"> horas do dia </w:t>
      </w:r>
      <w:r w:rsidR="00BB75A5">
        <w:rPr>
          <w:rFonts w:ascii="Arial" w:hAnsi="Arial" w:cs="Arial"/>
          <w:b/>
          <w:color w:val="000000" w:themeColor="text1"/>
        </w:rPr>
        <w:t>26/05/202</w:t>
      </w:r>
      <w:bookmarkStart w:id="0" w:name="_GoBack"/>
      <w:bookmarkEnd w:id="0"/>
      <w:r w:rsidR="00BB75A5">
        <w:rPr>
          <w:rFonts w:ascii="Arial" w:hAnsi="Arial" w:cs="Arial"/>
          <w:b/>
          <w:color w:val="000000" w:themeColor="text1"/>
        </w:rPr>
        <w:t>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w:t>
      </w:r>
      <w:proofErr w:type="gramStart"/>
      <w:r w:rsidRPr="007C03C9">
        <w:rPr>
          <w:rFonts w:ascii="Arial" w:hAnsi="Arial" w:cs="Arial"/>
          <w:color w:val="000000"/>
        </w:rPr>
        <w:t>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w:t>
      </w:r>
      <w:proofErr w:type="gramEnd"/>
      <w:r w:rsidR="00C95920" w:rsidRPr="007C03C9">
        <w:rPr>
          <w:rFonts w:ascii="Arial" w:hAnsi="Arial" w:cs="Arial"/>
          <w:color w:val="000000"/>
        </w:rPr>
        <w:t xml:space="preserve"> 8.078/1990 – Código de Defesa do Consumidor,</w:t>
      </w:r>
      <w:r w:rsidRPr="007C03C9">
        <w:rPr>
          <w:rFonts w:ascii="Arial" w:hAnsi="Arial" w:cs="Arial"/>
        </w:rPr>
        <w:t xml:space="preserve"> </w:t>
      </w:r>
      <w:proofErr w:type="gramStart"/>
      <w:r w:rsidRPr="007C03C9">
        <w:rPr>
          <w:rFonts w:ascii="Arial" w:hAnsi="Arial" w:cs="Arial"/>
        </w:rPr>
        <w:t>observadas</w:t>
      </w:r>
      <w:proofErr w:type="gramEnd"/>
      <w:r w:rsidRPr="007C03C9">
        <w:rPr>
          <w:rFonts w:ascii="Arial" w:hAnsi="Arial" w:cs="Arial"/>
        </w:rPr>
        <w:t xml:space="preserve">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1D707F" w:rsidRPr="002B288B">
        <w:rPr>
          <w:rFonts w:ascii="Arial" w:hAnsi="Arial" w:cs="Arial"/>
          <w:color w:val="000000" w:themeColor="text1"/>
        </w:rPr>
        <w:t xml:space="preserve">gêneros alimentícios, destinados a atender às necessidades do PNAE,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1"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1"/>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2"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2"/>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0C1BC0" w:rsidRPr="000C1BC0">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3" w:name="_Ref9521676"/>
      <w:r w:rsidRPr="007C03C9">
        <w:rPr>
          <w:rFonts w:ascii="Arial" w:hAnsi="Arial" w:cs="Arial"/>
          <w:color w:val="000000" w:themeColor="text1"/>
        </w:rPr>
        <w:t>É vedada a participação de empresa em mais de um consórcio no presente certame.</w:t>
      </w:r>
      <w:bookmarkEnd w:id="3"/>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4"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4"/>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0C1BC0" w:rsidRPr="000C1BC0">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0C1BC0" w:rsidRPr="000C1BC0">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28048"/>
      <w:r w:rsidRPr="007C03C9">
        <w:rPr>
          <w:rFonts w:ascii="Arial" w:eastAsia="Times New Roman" w:hAnsi="Arial" w:cs="Arial"/>
          <w:b/>
          <w:color w:val="000000" w:themeColor="text1"/>
          <w:kern w:val="2"/>
          <w:lang w:eastAsia="pt-BR"/>
        </w:rPr>
        <w:t>DO EMPATE:</w:t>
      </w:r>
      <w:bookmarkEnd w:id="5"/>
    </w:p>
    <w:p w:rsidR="001D707F" w:rsidRPr="00FD7872" w:rsidRDefault="001D707F" w:rsidP="007810ED">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6" w:name="_Ref9518788"/>
      <w:r w:rsidRPr="007C03C9">
        <w:rPr>
          <w:rFonts w:ascii="Arial" w:eastAsia="Times New Roman" w:hAnsi="Arial" w:cs="Arial"/>
          <w:b/>
          <w:color w:val="000000" w:themeColor="text1"/>
          <w:kern w:val="2"/>
          <w:lang w:eastAsia="pt-BR"/>
        </w:rPr>
        <w:t>DA NEGOCIAÇÃO DIRETA:</w:t>
      </w:r>
      <w:bookmarkEnd w:id="6"/>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7" w:name="_Ref9527901"/>
      <w:r w:rsidRPr="007C03C9">
        <w:rPr>
          <w:rFonts w:ascii="Arial" w:eastAsia="Times New Roman" w:hAnsi="Arial" w:cs="Arial"/>
          <w:b/>
          <w:kern w:val="2"/>
          <w:lang w:eastAsia="pt-BR"/>
        </w:rPr>
        <w:t>DA ACEITABILIDADE DA PROPOSTA VENCEDORA:</w:t>
      </w:r>
      <w:bookmarkEnd w:id="7"/>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8" w:name="_Ref9531878"/>
      <w:bookmarkStart w:id="9"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8"/>
      <w:bookmarkEnd w:id="9"/>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10" w:name="_Ref9527800"/>
      <w:r w:rsidRPr="007C03C9">
        <w:rPr>
          <w:rFonts w:ascii="Arial" w:hAnsi="Arial" w:cs="Arial"/>
          <w:b/>
          <w:bCs/>
        </w:rPr>
        <w:t>A proposta deve conter:</w:t>
      </w:r>
      <w:bookmarkEnd w:id="10"/>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7B5F76">
        <w:fldChar w:fldCharType="begin"/>
      </w:r>
      <w:r w:rsidR="007B5F76">
        <w:instrText xml:space="preserve">REF _Ref9527800 \r \h \* MERGEFORMAT </w:instrText>
      </w:r>
      <w:r w:rsidR="007B5F76">
        <w:fldChar w:fldCharType="separate"/>
      </w:r>
      <w:r w:rsidR="000C1BC0" w:rsidRPr="000C1BC0">
        <w:rPr>
          <w:rFonts w:ascii="Arial" w:hAnsi="Arial" w:cs="Arial"/>
          <w:b/>
          <w:bCs/>
        </w:rPr>
        <w:t>10.2.2</w:t>
      </w:r>
      <w:r w:rsidR="007B5F76">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acima </w:t>
      </w:r>
      <w:r w:rsidR="00EE3C00">
        <w:rPr>
          <w:rFonts w:ascii="Arial" w:hAnsi="Arial" w:cs="Arial"/>
          <w:bCs/>
          <w:color w:val="000000"/>
        </w:rPr>
        <w:t>de 10%</w:t>
      </w:r>
      <w:proofErr w:type="gramStart"/>
      <w:r w:rsidR="00EE3C00">
        <w:rPr>
          <w:rFonts w:ascii="Arial" w:hAnsi="Arial" w:cs="Arial"/>
          <w:bCs/>
          <w:color w:val="000000"/>
        </w:rPr>
        <w:t>(</w:t>
      </w:r>
      <w:proofErr w:type="gramEnd"/>
      <w:r w:rsidR="00EE3C00">
        <w:rPr>
          <w:rFonts w:ascii="Arial" w:hAnsi="Arial" w:cs="Arial"/>
          <w:bCs/>
          <w:color w:val="000000"/>
        </w:rPr>
        <w:t>dez por cento)</w:t>
      </w:r>
      <w:r w:rsidRPr="007C03C9">
        <w:rPr>
          <w:rFonts w:ascii="Arial" w:hAnsi="Arial" w:cs="Arial"/>
          <w:bCs/>
          <w:color w:val="000000"/>
        </w:rPr>
        <w:t>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7B5F76">
        <w:fldChar w:fldCharType="begin"/>
      </w:r>
      <w:r w:rsidR="007B5F76">
        <w:instrText xml:space="preserve">REF _Ref9531878 \r \h \* MERGEFORMAT </w:instrText>
      </w:r>
      <w:r w:rsidR="007B5F76">
        <w:fldChar w:fldCharType="separate"/>
      </w:r>
      <w:r w:rsidR="000C1BC0" w:rsidRPr="000C1BC0">
        <w:rPr>
          <w:rFonts w:ascii="Arial" w:hAnsi="Arial" w:cs="Arial"/>
          <w:b/>
          <w:bCs/>
        </w:rPr>
        <w:t>10.2</w:t>
      </w:r>
      <w:r w:rsidR="007B5F76">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w:t>
      </w:r>
      <w:r w:rsidRPr="00EE3C00">
        <w:rPr>
          <w:rFonts w:ascii="Arial" w:hAnsi="Arial" w:cs="Arial"/>
          <w:bCs/>
        </w:rPr>
        <w:t xml:space="preserve">nos </w:t>
      </w:r>
      <w:r w:rsidRPr="00EE3C00">
        <w:rPr>
          <w:rFonts w:ascii="Arial" w:hAnsi="Arial" w:cs="Arial"/>
          <w:b/>
          <w:bCs/>
        </w:rPr>
        <w:t>itens</w:t>
      </w:r>
      <w:r w:rsidRPr="00EE3C00">
        <w:rPr>
          <w:rFonts w:ascii="Arial" w:hAnsi="Arial" w:cs="Arial"/>
          <w:bCs/>
        </w:rPr>
        <w:t xml:space="preserve"> </w:t>
      </w:r>
      <w:r w:rsidR="004724F5" w:rsidRPr="00EE3C00">
        <w:rPr>
          <w:rFonts w:ascii="Arial" w:hAnsi="Arial" w:cs="Arial"/>
          <w:b/>
          <w:bCs/>
        </w:rPr>
        <w:fldChar w:fldCharType="begin"/>
      </w:r>
      <w:r w:rsidRPr="00EE3C00">
        <w:rPr>
          <w:rFonts w:ascii="Arial" w:hAnsi="Arial" w:cs="Arial"/>
          <w:b/>
          <w:bCs/>
        </w:rPr>
        <w:instrText>REF _Ref9528048 \r \h</w:instrText>
      </w:r>
      <w:r w:rsidR="00A721D6" w:rsidRPr="00EE3C00">
        <w:rPr>
          <w:rFonts w:ascii="Arial" w:hAnsi="Arial" w:cs="Arial"/>
          <w:b/>
          <w:bCs/>
        </w:rPr>
        <w:instrText xml:space="preserve"> \* MERGEFORMAT </w:instrText>
      </w:r>
      <w:r w:rsidR="004724F5" w:rsidRPr="00EE3C00">
        <w:rPr>
          <w:rFonts w:ascii="Arial" w:hAnsi="Arial" w:cs="Arial"/>
          <w:b/>
          <w:bCs/>
        </w:rPr>
      </w:r>
      <w:r w:rsidR="004724F5" w:rsidRPr="00EE3C00">
        <w:rPr>
          <w:rFonts w:ascii="Arial" w:hAnsi="Arial" w:cs="Arial"/>
          <w:b/>
          <w:bCs/>
        </w:rPr>
        <w:fldChar w:fldCharType="separate"/>
      </w:r>
      <w:r w:rsidR="000C1BC0">
        <w:rPr>
          <w:rFonts w:ascii="Arial" w:hAnsi="Arial" w:cs="Arial"/>
          <w:b/>
          <w:bCs/>
        </w:rPr>
        <w:t>8</w:t>
      </w:r>
      <w:r w:rsidR="004724F5" w:rsidRPr="00EE3C00">
        <w:rPr>
          <w:rFonts w:ascii="Arial" w:hAnsi="Arial" w:cs="Arial"/>
          <w:b/>
          <w:bCs/>
        </w:rPr>
        <w:fldChar w:fldCharType="end"/>
      </w:r>
      <w:r w:rsidRPr="00EE3C00">
        <w:rPr>
          <w:rFonts w:ascii="Arial" w:hAnsi="Arial" w:cs="Arial"/>
          <w:b/>
          <w:bCs/>
        </w:rPr>
        <w:t xml:space="preserve"> </w:t>
      </w:r>
      <w:r w:rsidRPr="00EE3C00">
        <w:rPr>
          <w:rFonts w:ascii="Arial" w:hAnsi="Arial" w:cs="Arial"/>
          <w:bCs/>
        </w:rPr>
        <w:t>e</w:t>
      </w:r>
      <w:r w:rsidRPr="00EE3C00">
        <w:rPr>
          <w:rFonts w:ascii="Arial" w:hAnsi="Arial" w:cs="Arial"/>
          <w:b/>
          <w:bCs/>
        </w:rPr>
        <w:t xml:space="preserve"> </w:t>
      </w:r>
      <w:r w:rsidR="007B5F76" w:rsidRPr="00EE3C00">
        <w:rPr>
          <w:rFonts w:ascii="Arial" w:hAnsi="Arial" w:cs="Arial"/>
          <w:b/>
        </w:rPr>
        <w:fldChar w:fldCharType="begin"/>
      </w:r>
      <w:r w:rsidR="007B5F76" w:rsidRPr="00EE3C00">
        <w:rPr>
          <w:rFonts w:ascii="Arial" w:hAnsi="Arial" w:cs="Arial"/>
          <w:b/>
        </w:rPr>
        <w:instrText xml:space="preserve">REF _Ref9518788 \r \h \* MERGEFORMAT </w:instrText>
      </w:r>
      <w:r w:rsidR="007B5F76" w:rsidRPr="00EE3C00">
        <w:rPr>
          <w:rFonts w:ascii="Arial" w:hAnsi="Arial" w:cs="Arial"/>
          <w:b/>
        </w:rPr>
      </w:r>
      <w:r w:rsidR="007B5F76" w:rsidRPr="00EE3C00">
        <w:rPr>
          <w:rFonts w:ascii="Arial" w:hAnsi="Arial" w:cs="Arial"/>
          <w:b/>
        </w:rPr>
        <w:fldChar w:fldCharType="separate"/>
      </w:r>
      <w:r w:rsidR="000C1BC0">
        <w:rPr>
          <w:rFonts w:ascii="Arial" w:hAnsi="Arial" w:cs="Arial"/>
          <w:b/>
        </w:rPr>
        <w:t>9</w:t>
      </w:r>
      <w:r w:rsidR="007B5F76" w:rsidRPr="00EE3C00">
        <w:rPr>
          <w:rFonts w:ascii="Arial" w:hAnsi="Arial" w:cs="Arial"/>
          <w:b/>
        </w:rPr>
        <w:fldChar w:fldCharType="end"/>
      </w:r>
      <w:r w:rsidRPr="00EE3C00">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1" w:name="_Ref9528296"/>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0C1BC0" w:rsidRPr="000C1BC0">
        <w:rPr>
          <w:rFonts w:ascii="Arial" w:hAnsi="Arial" w:cs="Arial"/>
          <w:b/>
        </w:rPr>
        <w:t>10.2.2</w:t>
      </w:r>
      <w:r w:rsidR="007B5F76">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EE3C00">
        <w:rPr>
          <w:rFonts w:ascii="Arial" w:hAnsi="Arial" w:cs="Arial"/>
          <w:color w:val="000000" w:themeColor="text1"/>
        </w:rPr>
        <w:t>110</w:t>
      </w:r>
      <w:r w:rsidR="007810ED">
        <w:rPr>
          <w:rFonts w:ascii="Arial" w:hAnsi="Arial" w:cs="Arial"/>
          <w:color w:val="000000" w:themeColor="text1"/>
        </w:rPr>
        <w:t>/2022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1"/>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2" w:name="_Ref9527297"/>
      <w:r w:rsidRPr="007C03C9">
        <w:rPr>
          <w:rFonts w:ascii="Arial" w:eastAsia="Times New Roman" w:hAnsi="Arial" w:cs="Arial"/>
          <w:b/>
          <w:kern w:val="2"/>
          <w:lang w:eastAsia="pt-BR"/>
        </w:rPr>
        <w:t>DA HABILITAÇÃO:</w:t>
      </w:r>
      <w:bookmarkEnd w:id="12"/>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3"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3"/>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2D17F9">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2D17F9">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2D17F9">
      <w:pPr>
        <w:pStyle w:val="PargrafodaLista"/>
        <w:numPr>
          <w:ilvl w:val="3"/>
          <w:numId w:val="44"/>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2D17F9">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2D17F9">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2D17F9">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2D17F9">
      <w:pPr>
        <w:pStyle w:val="PargrafodaLista"/>
        <w:snapToGrid w:val="0"/>
        <w:spacing w:line="276" w:lineRule="auto"/>
        <w:ind w:left="0"/>
        <w:jc w:val="both"/>
        <w:rPr>
          <w:rFonts w:ascii="Arial" w:hAnsi="Arial" w:cs="Arial"/>
          <w:bCs/>
          <w:sz w:val="22"/>
          <w:szCs w:val="22"/>
        </w:rPr>
      </w:pPr>
    </w:p>
    <w:p w:rsidR="003F53EA" w:rsidRPr="007C03C9" w:rsidRDefault="003F53EA" w:rsidP="002D17F9">
      <w:pPr>
        <w:numPr>
          <w:ilvl w:val="2"/>
          <w:numId w:val="44"/>
        </w:numPr>
        <w:snapToGrid w:val="0"/>
        <w:ind w:left="0" w:right="-2" w:firstLine="0"/>
        <w:rPr>
          <w:rFonts w:ascii="Arial" w:hAnsi="Arial" w:cs="Arial"/>
          <w:b/>
          <w:bCs/>
        </w:rPr>
      </w:pPr>
      <w:bookmarkStart w:id="14" w:name="_Ref9528215"/>
      <w:r w:rsidRPr="007C03C9">
        <w:rPr>
          <w:rFonts w:ascii="Arial" w:hAnsi="Arial" w:cs="Arial"/>
          <w:b/>
          <w:bCs/>
        </w:rPr>
        <w:t>QUALIFICAÇÃO ECONÔMICO-FINANCEIRA:</w:t>
      </w:r>
      <w:bookmarkEnd w:id="14"/>
    </w:p>
    <w:p w:rsidR="003F53EA" w:rsidRDefault="003F53EA" w:rsidP="002D17F9">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23741B"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QUALIFICAÇÃO TÉCNICA:</w:t>
      </w:r>
    </w:p>
    <w:p w:rsidR="001D707F" w:rsidRPr="001D707F" w:rsidRDefault="001D707F" w:rsidP="001D707F">
      <w:pPr>
        <w:snapToGrid w:val="0"/>
        <w:spacing w:before="120" w:after="120"/>
        <w:ind w:right="-2"/>
        <w:rPr>
          <w:rFonts w:ascii="Arial" w:hAnsi="Arial" w:cs="Arial"/>
        </w:rPr>
      </w:pPr>
      <w:r w:rsidRPr="008B74CC">
        <w:rPr>
          <w:rFonts w:ascii="Arial" w:hAnsi="Arial" w:cs="Arial"/>
          <w:sz w:val="20"/>
          <w:szCs w:val="20"/>
        </w:rPr>
        <w:t xml:space="preserve">I </w:t>
      </w:r>
      <w:r w:rsidRPr="001D707F">
        <w:rPr>
          <w:rFonts w:ascii="Arial" w:hAnsi="Arial" w:cs="Arial"/>
        </w:rPr>
        <w:t>- Alvará Sanitário emitido pela Vigilância Sanitária para o estabelecimento e para o veículo que será usado no transporte dos produtos;</w:t>
      </w:r>
    </w:p>
    <w:p w:rsidR="001D707F" w:rsidRDefault="001D707F" w:rsidP="001D707F">
      <w:pPr>
        <w:snapToGrid w:val="0"/>
        <w:spacing w:before="120" w:after="120"/>
        <w:ind w:right="-2"/>
        <w:rPr>
          <w:rFonts w:ascii="Arial" w:hAnsi="Arial" w:cs="Arial"/>
          <w:sz w:val="20"/>
          <w:szCs w:val="20"/>
        </w:rPr>
      </w:pPr>
      <w:r w:rsidRPr="001D707F">
        <w:rPr>
          <w:rFonts w:ascii="Arial" w:hAnsi="Arial" w:cs="Arial"/>
        </w:rPr>
        <w:lastRenderedPageBreak/>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r w:rsidRPr="008B74CC">
        <w:rPr>
          <w:rFonts w:ascii="Arial" w:hAnsi="Arial" w:cs="Arial"/>
          <w:sz w:val="20"/>
          <w:szCs w:val="20"/>
        </w:rPr>
        <w:t>.</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 xml:space="preserve">DA HABILITAÇÃO DAS </w:t>
      </w:r>
      <w:proofErr w:type="spellStart"/>
      <w:r w:rsidR="003F53EA" w:rsidRPr="007C03C9">
        <w:rPr>
          <w:rFonts w:ascii="Arial" w:hAnsi="Arial" w:cs="Arial"/>
          <w:b/>
          <w:bCs/>
          <w:color w:val="000000"/>
        </w:rPr>
        <w:t>MEs</w:t>
      </w:r>
      <w:proofErr w:type="spellEnd"/>
      <w:r w:rsidR="003F53EA" w:rsidRPr="007C03C9">
        <w:rPr>
          <w:rFonts w:ascii="Arial" w:hAnsi="Arial" w:cs="Arial"/>
          <w:b/>
          <w:bCs/>
          <w:color w:val="000000"/>
        </w:rPr>
        <w:t xml:space="preserve"> / </w:t>
      </w:r>
      <w:proofErr w:type="spellStart"/>
      <w:r w:rsidR="003F53EA"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0C1BC0" w:rsidRPr="000C1BC0">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0C1BC0" w:rsidRPr="000C1BC0">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lastRenderedPageBreak/>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5"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5"/>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0C1BC0" w:rsidRPr="000C1BC0">
        <w:rPr>
          <w:rFonts w:ascii="Arial" w:hAnsi="Arial" w:cs="Arial"/>
          <w:b/>
          <w:bCs/>
        </w:rPr>
        <w:t>12.1.14</w:t>
      </w:r>
      <w:r w:rsidR="007B5F76">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17 deste Edital.</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2503A"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w:t>
      </w:r>
      <w:r w:rsidRPr="009A2B55">
        <w:rPr>
          <w:rFonts w:ascii="Arial" w:hAnsi="Arial" w:cs="Arial"/>
          <w:color w:val="000000"/>
        </w:rPr>
        <w:lastRenderedPageBreak/>
        <w:t xml:space="preserve">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6" w:name="_Ref9528565"/>
      <w:r w:rsidRPr="007C03C9">
        <w:rPr>
          <w:rFonts w:ascii="Arial" w:hAnsi="Arial" w:cs="Arial"/>
          <w:bCs/>
          <w:color w:val="000000"/>
        </w:rPr>
        <w:t>É vedada a subcontratação, cessão ou transferência total ou parcial do objeto deste Pregão.</w:t>
      </w:r>
      <w:bookmarkEnd w:id="16"/>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7" w:name="_Ref9527858"/>
      <w:r w:rsidRPr="007C03C9">
        <w:rPr>
          <w:rFonts w:ascii="Arial" w:eastAsia="Times New Roman" w:hAnsi="Arial" w:cs="Arial"/>
          <w:b/>
          <w:kern w:val="2"/>
          <w:lang w:eastAsia="pt-BR"/>
        </w:rPr>
        <w:t>DAS SANÇÕES ADMINISTRATIVAS:</w:t>
      </w:r>
      <w:bookmarkEnd w:id="17"/>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0C1BC0" w:rsidRPr="000C1BC0">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D22021">
        <w:rPr>
          <w:rFonts w:ascii="Arial" w:hAnsi="Arial" w:cs="Arial"/>
          <w:color w:val="000000"/>
        </w:rPr>
        <w:t>12</w:t>
      </w:r>
      <w:r w:rsidR="00FD7872">
        <w:rPr>
          <w:rFonts w:ascii="Arial" w:hAnsi="Arial" w:cs="Arial"/>
          <w:color w:val="000000"/>
        </w:rPr>
        <w:t xml:space="preserve"> de </w:t>
      </w:r>
      <w:r w:rsidR="00F9151B">
        <w:rPr>
          <w:rFonts w:ascii="Arial" w:hAnsi="Arial" w:cs="Arial"/>
          <w:color w:val="000000"/>
        </w:rPr>
        <w:t>ma</w:t>
      </w:r>
      <w:r w:rsidR="00D22021">
        <w:rPr>
          <w:rFonts w:ascii="Arial" w:hAnsi="Arial" w:cs="Arial"/>
          <w:color w:val="000000"/>
        </w:rPr>
        <w:t>io</w:t>
      </w:r>
      <w:r w:rsidRPr="007C03C9">
        <w:rPr>
          <w:rFonts w:ascii="Arial" w:hAnsi="Arial" w:cs="Arial"/>
          <w:color w:val="000000"/>
        </w:rPr>
        <w:t xml:space="preserve"> 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3121D5">
        <w:rPr>
          <w:rFonts w:ascii="Arial" w:hAnsi="Arial" w:cs="Arial"/>
          <w:b/>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O presente Termo de Referência tem por objeto </w:t>
      </w:r>
      <w:r w:rsidR="00D7385D">
        <w:t xml:space="preserve">a AQUISIÇÃO </w:t>
      </w:r>
      <w:r>
        <w:t>DE GÊNEROS ALIMENTÍCIOS, DESTINADO AO PROGRAMA NACIONAL DE ALIMENTAÇÃO ESCOLAR-PNAE E PARA SECRETARIAS DO MUNICÍPIO DE PINHEIRO MACHADO/RS</w:t>
      </w:r>
      <w:r w:rsidR="00D7385D">
        <w:t>, através de sistema de registro de preços, para entrega fracionada, de acordo com as necessidades do município</w:t>
      </w:r>
      <w:r>
        <w:t xml:space="preserve">; </w:t>
      </w:r>
    </w:p>
    <w:p w:rsidR="002B288B" w:rsidRDefault="002B288B" w:rsidP="002B288B">
      <w:r>
        <w:t xml:space="preserve">1.2 - ESPECIFICAÇÕES DOS PRODUTOS E PREÇOS MÁXIMOS </w:t>
      </w:r>
      <w:proofErr w:type="gramStart"/>
      <w:r>
        <w:t>ESTIMADOS</w:t>
      </w:r>
      <w:r w:rsidR="00F9151B">
        <w:t>(</w:t>
      </w:r>
      <w:proofErr w:type="gramEnd"/>
      <w:r w:rsidR="00F9151B">
        <w:t>ver item 10.5 do edital)</w:t>
      </w:r>
      <w:r>
        <w:t>:</w:t>
      </w:r>
    </w:p>
    <w:tbl>
      <w:tblPr>
        <w:tblStyle w:val="Tabelacomgrade"/>
        <w:tblW w:w="0" w:type="auto"/>
        <w:jc w:val="center"/>
        <w:tblLook w:val="04A0" w:firstRow="1" w:lastRow="0" w:firstColumn="1" w:lastColumn="0" w:noHBand="0" w:noVBand="1"/>
      </w:tblPr>
      <w:tblGrid>
        <w:gridCol w:w="593"/>
        <w:gridCol w:w="625"/>
        <w:gridCol w:w="6254"/>
        <w:gridCol w:w="1276"/>
        <w:gridCol w:w="1523"/>
      </w:tblGrid>
      <w:tr w:rsidR="002B288B" w:rsidRPr="00C128A5" w:rsidTr="00702CAB">
        <w:trPr>
          <w:jc w:val="center"/>
        </w:trPr>
        <w:tc>
          <w:tcPr>
            <w:tcW w:w="0" w:type="auto"/>
          </w:tcPr>
          <w:p w:rsidR="002B288B" w:rsidRPr="00C128A5" w:rsidRDefault="002B288B" w:rsidP="003121D5">
            <w:pPr>
              <w:jc w:val="center"/>
              <w:rPr>
                <w:color w:val="000000" w:themeColor="text1"/>
              </w:rPr>
            </w:pPr>
            <w:r w:rsidRPr="00C128A5">
              <w:rPr>
                <w:color w:val="000000" w:themeColor="text1"/>
              </w:rPr>
              <w:t>Item</w:t>
            </w:r>
          </w:p>
        </w:tc>
        <w:tc>
          <w:tcPr>
            <w:tcW w:w="0" w:type="auto"/>
          </w:tcPr>
          <w:p w:rsidR="002B288B" w:rsidRPr="00C128A5" w:rsidRDefault="002B288B" w:rsidP="003121D5">
            <w:pPr>
              <w:jc w:val="center"/>
              <w:rPr>
                <w:color w:val="000000" w:themeColor="text1"/>
              </w:rPr>
            </w:pPr>
            <w:proofErr w:type="gramStart"/>
            <w:r w:rsidRPr="00C128A5">
              <w:rPr>
                <w:color w:val="000000" w:themeColor="text1"/>
              </w:rPr>
              <w:t>un.</w:t>
            </w:r>
            <w:proofErr w:type="gramEnd"/>
          </w:p>
        </w:tc>
        <w:tc>
          <w:tcPr>
            <w:tcW w:w="6254" w:type="dxa"/>
          </w:tcPr>
          <w:p w:rsidR="002B288B" w:rsidRPr="00C128A5" w:rsidRDefault="002B288B" w:rsidP="003121D5">
            <w:pPr>
              <w:jc w:val="center"/>
              <w:rPr>
                <w:color w:val="000000" w:themeColor="text1"/>
              </w:rPr>
            </w:pPr>
            <w:r>
              <w:rPr>
                <w:color w:val="000000" w:themeColor="text1"/>
              </w:rPr>
              <w:t>D</w:t>
            </w:r>
            <w:r w:rsidRPr="00C128A5">
              <w:rPr>
                <w:color w:val="000000" w:themeColor="text1"/>
              </w:rPr>
              <w:t>escrição</w:t>
            </w:r>
          </w:p>
        </w:tc>
        <w:tc>
          <w:tcPr>
            <w:tcW w:w="1276" w:type="dxa"/>
          </w:tcPr>
          <w:p w:rsidR="002B288B" w:rsidRPr="00C128A5" w:rsidRDefault="002B288B" w:rsidP="003121D5">
            <w:pPr>
              <w:jc w:val="center"/>
              <w:rPr>
                <w:color w:val="000000" w:themeColor="text1"/>
              </w:rPr>
            </w:pPr>
            <w:r w:rsidRPr="00C128A5">
              <w:rPr>
                <w:color w:val="000000" w:themeColor="text1"/>
              </w:rPr>
              <w:t>Quantidade</w:t>
            </w:r>
          </w:p>
        </w:tc>
        <w:tc>
          <w:tcPr>
            <w:tcW w:w="1523" w:type="dxa"/>
          </w:tcPr>
          <w:p w:rsidR="002B288B" w:rsidRPr="00C128A5" w:rsidRDefault="002B288B" w:rsidP="003121D5">
            <w:pPr>
              <w:jc w:val="center"/>
              <w:rPr>
                <w:color w:val="000000" w:themeColor="text1"/>
              </w:rPr>
            </w:pPr>
            <w:proofErr w:type="gramStart"/>
            <w:r>
              <w:rPr>
                <w:color w:val="000000" w:themeColor="text1"/>
              </w:rPr>
              <w:t>Referência(</w:t>
            </w:r>
            <w:proofErr w:type="gramEnd"/>
            <w:r>
              <w:rPr>
                <w:color w:val="000000" w:themeColor="text1"/>
              </w:rPr>
              <w:t>R$)</w:t>
            </w:r>
          </w:p>
        </w:tc>
      </w:tr>
      <w:tr w:rsidR="002B288B" w:rsidRPr="00C128A5" w:rsidTr="00702CAB">
        <w:trPr>
          <w:jc w:val="center"/>
        </w:trPr>
        <w:tc>
          <w:tcPr>
            <w:tcW w:w="0" w:type="auto"/>
          </w:tcPr>
          <w:p w:rsidR="002B288B" w:rsidRPr="00164B1A" w:rsidRDefault="002B288B" w:rsidP="002B288B">
            <w:pPr>
              <w:jc w:val="both"/>
              <w:rPr>
                <w:color w:val="000000" w:themeColor="text1"/>
              </w:rPr>
            </w:pPr>
            <w:r w:rsidRPr="00164B1A">
              <w:rPr>
                <w:color w:val="000000" w:themeColor="text1"/>
              </w:rPr>
              <w:t>01</w:t>
            </w:r>
          </w:p>
        </w:tc>
        <w:tc>
          <w:tcPr>
            <w:tcW w:w="0" w:type="auto"/>
          </w:tcPr>
          <w:p w:rsidR="002B288B" w:rsidRPr="00164B1A" w:rsidRDefault="00D22021" w:rsidP="00D22021">
            <w:pPr>
              <w:jc w:val="both"/>
              <w:rPr>
                <w:color w:val="000000" w:themeColor="text1"/>
              </w:rPr>
            </w:pPr>
            <w:proofErr w:type="spellStart"/>
            <w:proofErr w:type="gramStart"/>
            <w:r>
              <w:rPr>
                <w:color w:val="000000" w:themeColor="text1"/>
              </w:rPr>
              <w:t>un</w:t>
            </w:r>
            <w:proofErr w:type="spellEnd"/>
            <w:proofErr w:type="gramEnd"/>
            <w:r w:rsidR="002B288B" w:rsidRPr="00164B1A">
              <w:rPr>
                <w:color w:val="000000" w:themeColor="text1"/>
              </w:rPr>
              <w:t xml:space="preserve"> </w:t>
            </w:r>
          </w:p>
        </w:tc>
        <w:tc>
          <w:tcPr>
            <w:tcW w:w="6254" w:type="dxa"/>
          </w:tcPr>
          <w:p w:rsidR="002B288B" w:rsidRPr="00164B1A" w:rsidRDefault="002B288B" w:rsidP="00D22021">
            <w:pPr>
              <w:jc w:val="both"/>
              <w:rPr>
                <w:color w:val="000000" w:themeColor="text1"/>
              </w:rPr>
            </w:pPr>
            <w:r w:rsidRPr="00164B1A">
              <w:rPr>
                <w:color w:val="000000" w:themeColor="text1"/>
              </w:rPr>
              <w:t xml:space="preserve">Açafrão da terra em pó fino homogêneo, coloração amarelo intenso, embalagem plástica com </w:t>
            </w:r>
            <w:r w:rsidR="00D22021">
              <w:rPr>
                <w:color w:val="000000" w:themeColor="text1"/>
              </w:rPr>
              <w:t>50g</w:t>
            </w:r>
            <w:r w:rsidRPr="00164B1A">
              <w:rPr>
                <w:color w:val="000000" w:themeColor="text1"/>
              </w:rPr>
              <w:t>, com identificação do produto, marca do fabricante, peso líquido, data de fabricação e prazo de validade de no mínimo 01 ano.</w:t>
            </w:r>
          </w:p>
        </w:tc>
        <w:tc>
          <w:tcPr>
            <w:tcW w:w="1276" w:type="dxa"/>
          </w:tcPr>
          <w:p w:rsidR="002B288B" w:rsidRPr="00164B1A" w:rsidRDefault="00D22021" w:rsidP="002B288B">
            <w:pPr>
              <w:jc w:val="center"/>
              <w:rPr>
                <w:color w:val="000000" w:themeColor="text1"/>
              </w:rPr>
            </w:pPr>
            <w:r>
              <w:rPr>
                <w:color w:val="000000" w:themeColor="text1"/>
              </w:rPr>
              <w:t>8</w:t>
            </w:r>
            <w:r w:rsidR="005F5865">
              <w:rPr>
                <w:color w:val="000000" w:themeColor="text1"/>
              </w:rPr>
              <w:t>5</w:t>
            </w:r>
          </w:p>
        </w:tc>
        <w:tc>
          <w:tcPr>
            <w:tcW w:w="1523" w:type="dxa"/>
          </w:tcPr>
          <w:p w:rsidR="002B288B" w:rsidRPr="00702CAB" w:rsidRDefault="002A3C1A" w:rsidP="002B288B">
            <w:pPr>
              <w:jc w:val="center"/>
              <w:rPr>
                <w:color w:val="FF0000"/>
              </w:rPr>
            </w:pPr>
            <w:r>
              <w:rPr>
                <w:color w:val="000000" w:themeColor="text1"/>
              </w:rPr>
              <w:t>3,54</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02</w:t>
            </w:r>
          </w:p>
        </w:tc>
        <w:tc>
          <w:tcPr>
            <w:tcW w:w="0" w:type="auto"/>
          </w:tcPr>
          <w:p w:rsidR="002B288B" w:rsidRPr="00164B1A" w:rsidRDefault="005F5865" w:rsidP="002B288B">
            <w:pPr>
              <w:jc w:val="both"/>
              <w:rPr>
                <w:color w:val="000000" w:themeColor="text1"/>
              </w:rPr>
            </w:pPr>
            <w:proofErr w:type="gramStart"/>
            <w:r>
              <w:rPr>
                <w:color w:val="000000" w:themeColor="text1"/>
              </w:rPr>
              <w:t>caixa</w:t>
            </w:r>
            <w:proofErr w:type="gramEnd"/>
          </w:p>
        </w:tc>
        <w:tc>
          <w:tcPr>
            <w:tcW w:w="6254" w:type="dxa"/>
          </w:tcPr>
          <w:p w:rsidR="002B288B" w:rsidRPr="00164B1A" w:rsidRDefault="002B288B" w:rsidP="005F5865">
            <w:pPr>
              <w:jc w:val="both"/>
              <w:rPr>
                <w:color w:val="000000" w:themeColor="text1"/>
              </w:rPr>
            </w:pPr>
            <w:r w:rsidRPr="00164B1A">
              <w:rPr>
                <w:color w:val="000000" w:themeColor="text1"/>
              </w:rPr>
              <w:t>Café em</w:t>
            </w:r>
            <w:r w:rsidR="00164B1A">
              <w:rPr>
                <w:color w:val="000000" w:themeColor="text1"/>
              </w:rPr>
              <w:t xml:space="preserve"> pó, torrado e moído, embalado a</w:t>
            </w:r>
            <w:r w:rsidRPr="00164B1A">
              <w:rPr>
                <w:color w:val="000000" w:themeColor="text1"/>
              </w:rPr>
              <w:t xml:space="preserve"> vácuo, com selo de qualidade ABIC</w:t>
            </w:r>
            <w:r w:rsidR="005F5865">
              <w:rPr>
                <w:color w:val="000000" w:themeColor="text1"/>
              </w:rPr>
              <w:t>, caixa com</w:t>
            </w:r>
            <w:r w:rsidRPr="00164B1A">
              <w:rPr>
                <w:color w:val="000000" w:themeColor="text1"/>
              </w:rPr>
              <w:t xml:space="preserve"> 500g. Com identificação do produto, marca do fabricante, peso líquido, data de fabricação e prazo de validade de no mínimo 01 ano.</w:t>
            </w:r>
          </w:p>
        </w:tc>
        <w:tc>
          <w:tcPr>
            <w:tcW w:w="1276" w:type="dxa"/>
          </w:tcPr>
          <w:p w:rsidR="002B288B" w:rsidRPr="00164B1A" w:rsidRDefault="00164B1A" w:rsidP="00D22021">
            <w:pPr>
              <w:jc w:val="center"/>
              <w:rPr>
                <w:color w:val="000000" w:themeColor="text1"/>
              </w:rPr>
            </w:pPr>
            <w:r>
              <w:rPr>
                <w:color w:val="000000" w:themeColor="text1"/>
              </w:rPr>
              <w:t>2</w:t>
            </w:r>
            <w:r w:rsidR="00D22021">
              <w:rPr>
                <w:color w:val="000000" w:themeColor="text1"/>
              </w:rPr>
              <w:t>00</w:t>
            </w:r>
          </w:p>
        </w:tc>
        <w:tc>
          <w:tcPr>
            <w:tcW w:w="1523" w:type="dxa"/>
          </w:tcPr>
          <w:p w:rsidR="002B288B" w:rsidRPr="00F9151B" w:rsidRDefault="002A3C1A" w:rsidP="002B288B">
            <w:pPr>
              <w:jc w:val="center"/>
              <w:rPr>
                <w:color w:val="000000" w:themeColor="text1"/>
              </w:rPr>
            </w:pPr>
            <w:r>
              <w:rPr>
                <w:color w:val="000000" w:themeColor="text1"/>
              </w:rPr>
              <w:t>16,64</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03</w:t>
            </w:r>
          </w:p>
        </w:tc>
        <w:tc>
          <w:tcPr>
            <w:tcW w:w="0" w:type="auto"/>
          </w:tcPr>
          <w:p w:rsidR="002B288B" w:rsidRPr="00164B1A" w:rsidRDefault="002B288B" w:rsidP="002B288B">
            <w:pPr>
              <w:jc w:val="both"/>
              <w:rPr>
                <w:color w:val="000000" w:themeColor="text1"/>
                <w:lang w:val="en-US"/>
              </w:rPr>
            </w:pPr>
            <w:r w:rsidRPr="00164B1A">
              <w:rPr>
                <w:color w:val="000000" w:themeColor="text1"/>
                <w:lang w:val="en-US"/>
              </w:rPr>
              <w:t xml:space="preserve">un </w:t>
            </w:r>
          </w:p>
        </w:tc>
        <w:tc>
          <w:tcPr>
            <w:tcW w:w="6254" w:type="dxa"/>
          </w:tcPr>
          <w:p w:rsidR="002B288B" w:rsidRPr="00164B1A" w:rsidRDefault="002B288B" w:rsidP="002B288B">
            <w:pPr>
              <w:tabs>
                <w:tab w:val="left" w:pos="2051"/>
              </w:tabs>
              <w:jc w:val="both"/>
              <w:rPr>
                <w:color w:val="000000" w:themeColor="text1"/>
              </w:rPr>
            </w:pPr>
            <w:r w:rsidRPr="00164B1A">
              <w:rPr>
                <w:color w:val="000000" w:themeColor="text1"/>
              </w:rPr>
              <w:t>Canela em pó, aspecto de pó fino, cor marrom claro, cheiro aromático e sabor próprio, em embalagens de 50 gramas, com identificação do produto, marca do fabricante, peso líquido, data de fabricação e prazo de validade de no mínimo 01 ano.</w:t>
            </w:r>
          </w:p>
        </w:tc>
        <w:tc>
          <w:tcPr>
            <w:tcW w:w="1276" w:type="dxa"/>
          </w:tcPr>
          <w:p w:rsidR="002B288B" w:rsidRPr="00164B1A" w:rsidRDefault="002B288B" w:rsidP="002B288B">
            <w:pPr>
              <w:jc w:val="center"/>
              <w:rPr>
                <w:color w:val="000000" w:themeColor="text1"/>
              </w:rPr>
            </w:pPr>
            <w:r w:rsidRPr="00164B1A">
              <w:rPr>
                <w:color w:val="000000" w:themeColor="text1"/>
              </w:rPr>
              <w:t>200</w:t>
            </w:r>
          </w:p>
        </w:tc>
        <w:tc>
          <w:tcPr>
            <w:tcW w:w="1523" w:type="dxa"/>
          </w:tcPr>
          <w:p w:rsidR="002B288B" w:rsidRPr="00F9151B" w:rsidRDefault="002A3C1A" w:rsidP="002B288B">
            <w:pPr>
              <w:jc w:val="center"/>
              <w:rPr>
                <w:color w:val="000000" w:themeColor="text1"/>
              </w:rPr>
            </w:pPr>
            <w:r>
              <w:rPr>
                <w:color w:val="000000" w:themeColor="text1"/>
              </w:rPr>
              <w:t>7,33</w:t>
            </w:r>
          </w:p>
        </w:tc>
      </w:tr>
      <w:tr w:rsidR="002B288B" w:rsidRPr="00C128A5" w:rsidTr="00702CAB">
        <w:trPr>
          <w:jc w:val="center"/>
        </w:trPr>
        <w:tc>
          <w:tcPr>
            <w:tcW w:w="0" w:type="auto"/>
          </w:tcPr>
          <w:p w:rsidR="002B288B" w:rsidRPr="00164B1A" w:rsidRDefault="00164B1A" w:rsidP="00FD7872">
            <w:pPr>
              <w:jc w:val="both"/>
              <w:rPr>
                <w:color w:val="000000" w:themeColor="text1"/>
              </w:rPr>
            </w:pPr>
            <w:r w:rsidRPr="00164B1A">
              <w:rPr>
                <w:color w:val="000000" w:themeColor="text1"/>
              </w:rPr>
              <w:t>04</w:t>
            </w:r>
          </w:p>
        </w:tc>
        <w:tc>
          <w:tcPr>
            <w:tcW w:w="0" w:type="auto"/>
          </w:tcPr>
          <w:p w:rsidR="002B288B" w:rsidRPr="00164B1A" w:rsidRDefault="00D22021" w:rsidP="002B288B">
            <w:pPr>
              <w:jc w:val="both"/>
              <w:rPr>
                <w:color w:val="000000" w:themeColor="text1"/>
                <w:lang w:val="en-US"/>
              </w:rPr>
            </w:pPr>
            <w:r>
              <w:rPr>
                <w:color w:val="000000" w:themeColor="text1"/>
                <w:lang w:val="en-US"/>
              </w:rPr>
              <w:t>un</w:t>
            </w:r>
          </w:p>
        </w:tc>
        <w:tc>
          <w:tcPr>
            <w:tcW w:w="6254" w:type="dxa"/>
          </w:tcPr>
          <w:p w:rsidR="002B288B" w:rsidRPr="00164B1A" w:rsidRDefault="002B288B" w:rsidP="00D22021">
            <w:pPr>
              <w:tabs>
                <w:tab w:val="left" w:pos="2051"/>
              </w:tabs>
              <w:jc w:val="both"/>
              <w:rPr>
                <w:color w:val="000000" w:themeColor="text1"/>
              </w:rPr>
            </w:pPr>
            <w:r w:rsidRPr="00164B1A">
              <w:rPr>
                <w:color w:val="000000" w:themeColor="text1"/>
              </w:rPr>
              <w:t>Cravo da índia, em botão floral maduro e</w:t>
            </w:r>
            <w:proofErr w:type="gramStart"/>
            <w:r w:rsidR="00164B1A">
              <w:rPr>
                <w:color w:val="000000" w:themeColor="text1"/>
              </w:rPr>
              <w:t xml:space="preserve"> </w:t>
            </w:r>
            <w:r w:rsidRPr="00164B1A">
              <w:rPr>
                <w:color w:val="000000" w:themeColor="text1"/>
              </w:rPr>
              <w:t xml:space="preserve"> </w:t>
            </w:r>
            <w:proofErr w:type="gramEnd"/>
            <w:r w:rsidRPr="00164B1A">
              <w:rPr>
                <w:color w:val="000000" w:themeColor="text1"/>
              </w:rPr>
              <w:t xml:space="preserve">dessecado, em embalagem de </w:t>
            </w:r>
            <w:r w:rsidR="00D22021">
              <w:rPr>
                <w:color w:val="000000" w:themeColor="text1"/>
              </w:rPr>
              <w:t>50g</w:t>
            </w:r>
            <w:r w:rsidRPr="00164B1A">
              <w:rPr>
                <w:color w:val="000000" w:themeColor="text1"/>
              </w:rPr>
              <w:t>, com identificação do produto, marca do fabricante, peso líquido, data de fabricação e prazo de validade de no mínimo 01 ano.</w:t>
            </w:r>
          </w:p>
        </w:tc>
        <w:tc>
          <w:tcPr>
            <w:tcW w:w="1276" w:type="dxa"/>
          </w:tcPr>
          <w:p w:rsidR="002B288B" w:rsidRPr="00164B1A" w:rsidRDefault="00D22021" w:rsidP="002B288B">
            <w:pPr>
              <w:jc w:val="center"/>
              <w:rPr>
                <w:color w:val="000000" w:themeColor="text1"/>
              </w:rPr>
            </w:pPr>
            <w:r>
              <w:rPr>
                <w:color w:val="000000" w:themeColor="text1"/>
              </w:rPr>
              <w:t>110</w:t>
            </w:r>
          </w:p>
        </w:tc>
        <w:tc>
          <w:tcPr>
            <w:tcW w:w="1523" w:type="dxa"/>
          </w:tcPr>
          <w:p w:rsidR="002B288B" w:rsidRPr="00F9151B" w:rsidRDefault="00D22021" w:rsidP="002B288B">
            <w:pPr>
              <w:jc w:val="center"/>
              <w:rPr>
                <w:color w:val="000000" w:themeColor="text1"/>
              </w:rPr>
            </w:pPr>
            <w:r>
              <w:rPr>
                <w:color w:val="000000" w:themeColor="text1"/>
              </w:rPr>
              <w:t>9,12</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05</w:t>
            </w:r>
          </w:p>
        </w:tc>
        <w:tc>
          <w:tcPr>
            <w:tcW w:w="0" w:type="auto"/>
          </w:tcPr>
          <w:p w:rsidR="002B288B" w:rsidRPr="00164B1A" w:rsidRDefault="00D22021" w:rsidP="002B288B">
            <w:pPr>
              <w:jc w:val="both"/>
              <w:rPr>
                <w:color w:val="000000" w:themeColor="text1"/>
                <w:lang w:val="en-US"/>
              </w:rPr>
            </w:pPr>
            <w:r>
              <w:rPr>
                <w:color w:val="000000" w:themeColor="text1"/>
                <w:lang w:val="en-US"/>
              </w:rPr>
              <w:t>un</w:t>
            </w:r>
            <w:r w:rsidR="002B288B" w:rsidRPr="00164B1A">
              <w:rPr>
                <w:color w:val="000000" w:themeColor="text1"/>
                <w:lang w:val="en-US"/>
              </w:rPr>
              <w:t xml:space="preserve"> </w:t>
            </w:r>
          </w:p>
        </w:tc>
        <w:tc>
          <w:tcPr>
            <w:tcW w:w="6254" w:type="dxa"/>
          </w:tcPr>
          <w:p w:rsidR="002B288B" w:rsidRPr="00164B1A" w:rsidRDefault="002B288B" w:rsidP="00D22021">
            <w:pPr>
              <w:jc w:val="both"/>
              <w:rPr>
                <w:color w:val="000000" w:themeColor="text1"/>
              </w:rPr>
            </w:pPr>
            <w:r w:rsidRPr="00164B1A">
              <w:rPr>
                <w:color w:val="000000" w:themeColor="text1"/>
              </w:rPr>
              <w:t xml:space="preserve">Farinha de aveia, tendo como único ingrediente: aveia. Em embalagens de </w:t>
            </w:r>
            <w:r w:rsidR="00D22021">
              <w:rPr>
                <w:color w:val="000000" w:themeColor="text1"/>
              </w:rPr>
              <w:t>500</w:t>
            </w:r>
            <w:r w:rsidRPr="00164B1A">
              <w:rPr>
                <w:color w:val="000000" w:themeColor="text1"/>
              </w:rPr>
              <w:t>g. Com identificação do produto, marca do fabricante, peso líquido, data de fabricação e prazo de validade de no mínimo 01 ano.</w:t>
            </w:r>
          </w:p>
        </w:tc>
        <w:tc>
          <w:tcPr>
            <w:tcW w:w="1276" w:type="dxa"/>
          </w:tcPr>
          <w:p w:rsidR="002B288B" w:rsidRPr="00164B1A" w:rsidRDefault="00D22021" w:rsidP="002B288B">
            <w:pPr>
              <w:jc w:val="center"/>
              <w:rPr>
                <w:color w:val="000000" w:themeColor="text1"/>
              </w:rPr>
            </w:pPr>
            <w:r>
              <w:rPr>
                <w:color w:val="000000" w:themeColor="text1"/>
              </w:rPr>
              <w:t>220</w:t>
            </w:r>
          </w:p>
        </w:tc>
        <w:tc>
          <w:tcPr>
            <w:tcW w:w="1523" w:type="dxa"/>
          </w:tcPr>
          <w:p w:rsidR="002B288B" w:rsidRPr="00F9151B" w:rsidRDefault="002A3C1A" w:rsidP="002B288B">
            <w:pPr>
              <w:jc w:val="center"/>
              <w:rPr>
                <w:color w:val="000000" w:themeColor="text1"/>
              </w:rPr>
            </w:pPr>
            <w:r>
              <w:rPr>
                <w:color w:val="000000" w:themeColor="text1"/>
              </w:rPr>
              <w:t>9,73</w:t>
            </w:r>
          </w:p>
        </w:tc>
      </w:tr>
      <w:tr w:rsidR="002B288B" w:rsidRPr="00C128A5" w:rsidTr="00702CAB">
        <w:trPr>
          <w:jc w:val="center"/>
        </w:trPr>
        <w:tc>
          <w:tcPr>
            <w:tcW w:w="0" w:type="auto"/>
          </w:tcPr>
          <w:p w:rsidR="002B288B" w:rsidRPr="00164B1A" w:rsidRDefault="00164B1A" w:rsidP="002A3C1A">
            <w:pPr>
              <w:jc w:val="both"/>
              <w:rPr>
                <w:color w:val="000000" w:themeColor="text1"/>
              </w:rPr>
            </w:pPr>
            <w:r w:rsidRPr="00164B1A">
              <w:rPr>
                <w:color w:val="000000" w:themeColor="text1"/>
              </w:rPr>
              <w:t>0</w:t>
            </w:r>
            <w:r w:rsidR="002A3C1A">
              <w:rPr>
                <w:color w:val="000000" w:themeColor="text1"/>
              </w:rPr>
              <w:t>6</w:t>
            </w:r>
          </w:p>
        </w:tc>
        <w:tc>
          <w:tcPr>
            <w:tcW w:w="0" w:type="auto"/>
          </w:tcPr>
          <w:p w:rsidR="002B288B" w:rsidRPr="00164B1A" w:rsidRDefault="002A3C1A" w:rsidP="002B288B">
            <w:pPr>
              <w:jc w:val="both"/>
              <w:rPr>
                <w:color w:val="000000" w:themeColor="text1"/>
              </w:rPr>
            </w:pPr>
            <w:proofErr w:type="gramStart"/>
            <w:r>
              <w:rPr>
                <w:color w:val="000000" w:themeColor="text1"/>
              </w:rPr>
              <w:t>kg</w:t>
            </w:r>
            <w:proofErr w:type="gramEnd"/>
          </w:p>
        </w:tc>
        <w:tc>
          <w:tcPr>
            <w:tcW w:w="6254" w:type="dxa"/>
          </w:tcPr>
          <w:p w:rsidR="002B288B" w:rsidRPr="00164B1A" w:rsidRDefault="002B288B" w:rsidP="002A3C1A">
            <w:pPr>
              <w:jc w:val="both"/>
              <w:rPr>
                <w:color w:val="000000" w:themeColor="text1"/>
              </w:rPr>
            </w:pPr>
            <w:r w:rsidRPr="00164B1A">
              <w:rPr>
                <w:color w:val="000000" w:themeColor="text1"/>
              </w:rPr>
              <w:t>Orégano desidratado</w:t>
            </w:r>
            <w:proofErr w:type="gramStart"/>
            <w:r w:rsidRPr="00164B1A">
              <w:rPr>
                <w:color w:val="000000" w:themeColor="text1"/>
              </w:rPr>
              <w:t>, erva</w:t>
            </w:r>
            <w:proofErr w:type="gramEnd"/>
            <w:r w:rsidRPr="00164B1A">
              <w:rPr>
                <w:color w:val="000000" w:themeColor="text1"/>
              </w:rPr>
              <w:t xml:space="preserve"> seca, sem contaminações de qualquer espécie, para uso culinário. Em </w:t>
            </w:r>
            <w:r w:rsidR="005F5865">
              <w:rPr>
                <w:color w:val="000000" w:themeColor="text1"/>
              </w:rPr>
              <w:t>pacote</w:t>
            </w:r>
            <w:r w:rsidRPr="00164B1A">
              <w:rPr>
                <w:color w:val="000000" w:themeColor="text1"/>
              </w:rPr>
              <w:t xml:space="preserve"> de </w:t>
            </w:r>
            <w:r w:rsidR="002A3C1A">
              <w:rPr>
                <w:color w:val="000000" w:themeColor="text1"/>
              </w:rPr>
              <w:t>01 kg</w:t>
            </w:r>
            <w:r w:rsidRPr="00164B1A">
              <w:rPr>
                <w:color w:val="000000" w:themeColor="text1"/>
              </w:rPr>
              <w:t>, com identificação do produto, marca do fabricante, peso líquido, data de fabricação e prazo de validade mínima de 01 ano.</w:t>
            </w:r>
          </w:p>
        </w:tc>
        <w:tc>
          <w:tcPr>
            <w:tcW w:w="1276" w:type="dxa"/>
          </w:tcPr>
          <w:p w:rsidR="002B288B" w:rsidRPr="00164B1A" w:rsidRDefault="005D174C" w:rsidP="002B288B">
            <w:pPr>
              <w:jc w:val="center"/>
              <w:rPr>
                <w:color w:val="000000" w:themeColor="text1"/>
              </w:rPr>
            </w:pPr>
            <w:r>
              <w:rPr>
                <w:color w:val="000000" w:themeColor="text1"/>
              </w:rPr>
              <w:t>0</w:t>
            </w:r>
            <w:r w:rsidR="002A3C1A">
              <w:rPr>
                <w:color w:val="000000" w:themeColor="text1"/>
              </w:rPr>
              <w:t>4</w:t>
            </w:r>
          </w:p>
        </w:tc>
        <w:tc>
          <w:tcPr>
            <w:tcW w:w="1523" w:type="dxa"/>
          </w:tcPr>
          <w:p w:rsidR="002B288B" w:rsidRPr="00F9151B" w:rsidRDefault="005D174C" w:rsidP="002B288B">
            <w:pPr>
              <w:jc w:val="center"/>
              <w:rPr>
                <w:color w:val="000000" w:themeColor="text1"/>
              </w:rPr>
            </w:pPr>
            <w:r>
              <w:rPr>
                <w:color w:val="000000" w:themeColor="text1"/>
              </w:rPr>
              <w:t>60,09</w:t>
            </w:r>
          </w:p>
        </w:tc>
      </w:tr>
      <w:tr w:rsidR="002B288B" w:rsidRPr="00C128A5" w:rsidTr="00702CAB">
        <w:trPr>
          <w:jc w:val="center"/>
        </w:trPr>
        <w:tc>
          <w:tcPr>
            <w:tcW w:w="0" w:type="auto"/>
          </w:tcPr>
          <w:p w:rsidR="002B288B" w:rsidRPr="00164B1A" w:rsidRDefault="00164B1A" w:rsidP="002A3C1A">
            <w:pPr>
              <w:jc w:val="both"/>
              <w:rPr>
                <w:color w:val="000000" w:themeColor="text1"/>
              </w:rPr>
            </w:pPr>
            <w:r w:rsidRPr="00164B1A">
              <w:rPr>
                <w:color w:val="000000" w:themeColor="text1"/>
              </w:rPr>
              <w:t>0</w:t>
            </w:r>
            <w:r w:rsidR="002A3C1A">
              <w:rPr>
                <w:color w:val="000000" w:themeColor="text1"/>
              </w:rPr>
              <w:t>7</w:t>
            </w:r>
          </w:p>
        </w:tc>
        <w:tc>
          <w:tcPr>
            <w:tcW w:w="0" w:type="auto"/>
          </w:tcPr>
          <w:p w:rsidR="002B288B" w:rsidRPr="00164B1A" w:rsidRDefault="005D174C" w:rsidP="002B288B">
            <w:pPr>
              <w:jc w:val="both"/>
              <w:rPr>
                <w:color w:val="000000" w:themeColor="text1"/>
              </w:rPr>
            </w:pPr>
            <w:proofErr w:type="spellStart"/>
            <w:proofErr w:type="gramStart"/>
            <w:r>
              <w:rPr>
                <w:color w:val="000000" w:themeColor="text1"/>
              </w:rPr>
              <w:t>un</w:t>
            </w:r>
            <w:proofErr w:type="spellEnd"/>
            <w:proofErr w:type="gramEnd"/>
          </w:p>
        </w:tc>
        <w:tc>
          <w:tcPr>
            <w:tcW w:w="6254" w:type="dxa"/>
          </w:tcPr>
          <w:p w:rsidR="002B288B" w:rsidRPr="00164B1A" w:rsidRDefault="002B288B" w:rsidP="005D174C">
            <w:pPr>
              <w:jc w:val="both"/>
              <w:rPr>
                <w:color w:val="000000" w:themeColor="text1"/>
              </w:rPr>
            </w:pPr>
            <w:proofErr w:type="spellStart"/>
            <w:r w:rsidRPr="00164B1A">
              <w:rPr>
                <w:color w:val="000000" w:themeColor="text1"/>
                <w:lang w:val="es-ES_tradnl"/>
              </w:rPr>
              <w:t>Polvilho</w:t>
            </w:r>
            <w:proofErr w:type="spellEnd"/>
            <w:r w:rsidRPr="00164B1A">
              <w:rPr>
                <w:color w:val="000000" w:themeColor="text1"/>
                <w:lang w:val="es-ES_tradnl"/>
              </w:rPr>
              <w:t xml:space="preserve"> </w:t>
            </w:r>
            <w:proofErr w:type="spellStart"/>
            <w:r w:rsidRPr="00164B1A">
              <w:rPr>
                <w:color w:val="000000" w:themeColor="text1"/>
                <w:lang w:val="es-ES_tradnl"/>
              </w:rPr>
              <w:t>azedo</w:t>
            </w:r>
            <w:proofErr w:type="spellEnd"/>
            <w:r w:rsidRPr="00164B1A">
              <w:rPr>
                <w:color w:val="000000" w:themeColor="text1"/>
                <w:lang w:val="es-ES_tradnl"/>
              </w:rPr>
              <w:t xml:space="preserve">, tipo 1, </w:t>
            </w:r>
            <w:proofErr w:type="spellStart"/>
            <w:r w:rsidRPr="00164B1A">
              <w:rPr>
                <w:color w:val="000000" w:themeColor="text1"/>
                <w:lang w:val="es-ES_tradnl"/>
              </w:rPr>
              <w:t>embalagem</w:t>
            </w:r>
            <w:proofErr w:type="spellEnd"/>
            <w:r w:rsidRPr="00164B1A">
              <w:rPr>
                <w:color w:val="000000" w:themeColor="text1"/>
                <w:lang w:val="es-ES_tradnl"/>
              </w:rPr>
              <w:t xml:space="preserve"> de </w:t>
            </w:r>
            <w:r w:rsidR="005D174C">
              <w:rPr>
                <w:color w:val="000000" w:themeColor="text1"/>
                <w:lang w:val="es-ES_tradnl"/>
              </w:rPr>
              <w:t>500</w:t>
            </w:r>
            <w:r w:rsidR="00985CA3">
              <w:rPr>
                <w:color w:val="000000" w:themeColor="text1"/>
                <w:lang w:val="es-ES_tradnl"/>
              </w:rPr>
              <w:t>g</w:t>
            </w:r>
            <w:r w:rsidRPr="00164B1A">
              <w:rPr>
                <w:color w:val="000000" w:themeColor="text1"/>
                <w:lang w:val="es-ES_tradnl"/>
              </w:rPr>
              <w:t>,</w:t>
            </w:r>
            <w:r w:rsidRPr="00164B1A">
              <w:rPr>
                <w:color w:val="000000" w:themeColor="text1"/>
              </w:rPr>
              <w:t xml:space="preserve"> com identificação do produto, marca do fabricante, peso líquido, data de fabricação e prazo de validade mínima de 01 ano.</w:t>
            </w:r>
          </w:p>
        </w:tc>
        <w:tc>
          <w:tcPr>
            <w:tcW w:w="1276" w:type="dxa"/>
          </w:tcPr>
          <w:p w:rsidR="002B288B" w:rsidRPr="00164B1A" w:rsidRDefault="005D174C" w:rsidP="002B288B">
            <w:pPr>
              <w:jc w:val="center"/>
              <w:rPr>
                <w:color w:val="000000" w:themeColor="text1"/>
              </w:rPr>
            </w:pPr>
            <w:r>
              <w:rPr>
                <w:color w:val="000000" w:themeColor="text1"/>
              </w:rPr>
              <w:t>40</w:t>
            </w:r>
          </w:p>
        </w:tc>
        <w:tc>
          <w:tcPr>
            <w:tcW w:w="1523" w:type="dxa"/>
          </w:tcPr>
          <w:p w:rsidR="002B288B" w:rsidRPr="00F9151B" w:rsidRDefault="005D174C" w:rsidP="002B288B">
            <w:pPr>
              <w:jc w:val="center"/>
              <w:rPr>
                <w:color w:val="000000" w:themeColor="text1"/>
              </w:rPr>
            </w:pPr>
            <w:r>
              <w:rPr>
                <w:color w:val="000000" w:themeColor="text1"/>
              </w:rPr>
              <w:t>6,89</w:t>
            </w:r>
          </w:p>
        </w:tc>
      </w:tr>
      <w:tr w:rsidR="002B288B" w:rsidRPr="00C128A5" w:rsidTr="00702CAB">
        <w:trPr>
          <w:jc w:val="center"/>
        </w:trPr>
        <w:tc>
          <w:tcPr>
            <w:tcW w:w="0" w:type="auto"/>
          </w:tcPr>
          <w:p w:rsidR="002B288B" w:rsidRPr="00164B1A" w:rsidRDefault="00164B1A" w:rsidP="002A3C1A">
            <w:pPr>
              <w:jc w:val="both"/>
              <w:rPr>
                <w:color w:val="000000" w:themeColor="text1"/>
              </w:rPr>
            </w:pPr>
            <w:r w:rsidRPr="00164B1A">
              <w:rPr>
                <w:color w:val="000000" w:themeColor="text1"/>
              </w:rPr>
              <w:t>0</w:t>
            </w:r>
            <w:r w:rsidR="002A3C1A">
              <w:rPr>
                <w:color w:val="000000" w:themeColor="text1"/>
              </w:rPr>
              <w:t>8</w:t>
            </w:r>
          </w:p>
        </w:tc>
        <w:tc>
          <w:tcPr>
            <w:tcW w:w="0" w:type="auto"/>
          </w:tcPr>
          <w:p w:rsidR="002B288B" w:rsidRPr="00164B1A" w:rsidRDefault="005D174C" w:rsidP="002B288B">
            <w:pPr>
              <w:jc w:val="both"/>
              <w:rPr>
                <w:color w:val="000000" w:themeColor="text1"/>
              </w:rPr>
            </w:pPr>
            <w:proofErr w:type="spellStart"/>
            <w:proofErr w:type="gramStart"/>
            <w:r>
              <w:rPr>
                <w:color w:val="000000" w:themeColor="text1"/>
              </w:rPr>
              <w:t>un</w:t>
            </w:r>
            <w:proofErr w:type="spellEnd"/>
            <w:proofErr w:type="gramEnd"/>
          </w:p>
        </w:tc>
        <w:tc>
          <w:tcPr>
            <w:tcW w:w="6254" w:type="dxa"/>
          </w:tcPr>
          <w:p w:rsidR="002B288B" w:rsidRPr="00164B1A" w:rsidRDefault="002B288B" w:rsidP="005D174C">
            <w:pPr>
              <w:jc w:val="both"/>
              <w:rPr>
                <w:color w:val="000000" w:themeColor="text1"/>
              </w:rPr>
            </w:pPr>
            <w:proofErr w:type="spellStart"/>
            <w:r w:rsidRPr="00164B1A">
              <w:rPr>
                <w:color w:val="000000" w:themeColor="text1"/>
                <w:lang w:val="es-ES_tradnl"/>
              </w:rPr>
              <w:t>Polvilho</w:t>
            </w:r>
            <w:proofErr w:type="spellEnd"/>
            <w:r w:rsidRPr="00164B1A">
              <w:rPr>
                <w:color w:val="000000" w:themeColor="text1"/>
                <w:lang w:val="es-ES_tradnl"/>
              </w:rPr>
              <w:t xml:space="preserve"> doce, tipo 1, </w:t>
            </w:r>
            <w:proofErr w:type="spellStart"/>
            <w:r w:rsidR="005D174C">
              <w:rPr>
                <w:color w:val="000000" w:themeColor="text1"/>
                <w:lang w:val="es-ES_tradnl"/>
              </w:rPr>
              <w:t>embalagem</w:t>
            </w:r>
            <w:proofErr w:type="spellEnd"/>
            <w:r w:rsidRPr="00164B1A">
              <w:rPr>
                <w:color w:val="000000" w:themeColor="text1"/>
                <w:lang w:val="es-ES_tradnl"/>
              </w:rPr>
              <w:t xml:space="preserve"> de </w:t>
            </w:r>
            <w:r w:rsidR="005D174C">
              <w:rPr>
                <w:color w:val="000000" w:themeColor="text1"/>
                <w:lang w:val="es-ES_tradnl"/>
              </w:rPr>
              <w:t>500g</w:t>
            </w:r>
            <w:r w:rsidRPr="00164B1A">
              <w:rPr>
                <w:color w:val="000000" w:themeColor="text1"/>
                <w:lang w:val="es-ES_tradnl"/>
              </w:rPr>
              <w:t>,</w:t>
            </w:r>
            <w:r w:rsidRPr="00164B1A">
              <w:rPr>
                <w:color w:val="000000" w:themeColor="text1"/>
              </w:rPr>
              <w:t xml:space="preserve"> com identificação do produto, marca do fabricante, peso líquido, data de fabricação e prazo de validade mínima de 01 ano.</w:t>
            </w:r>
          </w:p>
        </w:tc>
        <w:tc>
          <w:tcPr>
            <w:tcW w:w="1276" w:type="dxa"/>
          </w:tcPr>
          <w:p w:rsidR="002B288B" w:rsidRPr="00164B1A" w:rsidRDefault="005D174C" w:rsidP="002B288B">
            <w:pPr>
              <w:jc w:val="center"/>
              <w:rPr>
                <w:color w:val="000000" w:themeColor="text1"/>
              </w:rPr>
            </w:pPr>
            <w:r>
              <w:rPr>
                <w:color w:val="000000" w:themeColor="text1"/>
              </w:rPr>
              <w:t>40</w:t>
            </w:r>
          </w:p>
        </w:tc>
        <w:tc>
          <w:tcPr>
            <w:tcW w:w="1523" w:type="dxa"/>
          </w:tcPr>
          <w:p w:rsidR="002B288B" w:rsidRPr="00F9151B" w:rsidRDefault="005D174C" w:rsidP="002B288B">
            <w:pPr>
              <w:jc w:val="center"/>
              <w:rPr>
                <w:color w:val="000000" w:themeColor="text1"/>
              </w:rPr>
            </w:pPr>
            <w:r>
              <w:rPr>
                <w:color w:val="000000" w:themeColor="text1"/>
              </w:rPr>
              <w:t>5,09</w:t>
            </w:r>
          </w:p>
        </w:tc>
      </w:tr>
      <w:tr w:rsidR="002B288B" w:rsidRPr="00C128A5" w:rsidTr="00702CAB">
        <w:trPr>
          <w:jc w:val="center"/>
        </w:trPr>
        <w:tc>
          <w:tcPr>
            <w:tcW w:w="0" w:type="auto"/>
          </w:tcPr>
          <w:p w:rsidR="002B288B" w:rsidRPr="00164B1A" w:rsidRDefault="002A3C1A" w:rsidP="00FD7872">
            <w:pPr>
              <w:jc w:val="both"/>
              <w:rPr>
                <w:color w:val="000000" w:themeColor="text1"/>
              </w:rPr>
            </w:pPr>
            <w:r>
              <w:rPr>
                <w:color w:val="000000" w:themeColor="text1"/>
              </w:rPr>
              <w:t>09</w:t>
            </w:r>
          </w:p>
        </w:tc>
        <w:tc>
          <w:tcPr>
            <w:tcW w:w="0" w:type="auto"/>
          </w:tcPr>
          <w:p w:rsidR="002B288B" w:rsidRPr="00164B1A" w:rsidRDefault="005F5865" w:rsidP="002B288B">
            <w:pPr>
              <w:jc w:val="both"/>
              <w:rPr>
                <w:color w:val="000000" w:themeColor="text1"/>
              </w:rPr>
            </w:pPr>
            <w:proofErr w:type="gramStart"/>
            <w:r>
              <w:rPr>
                <w:color w:val="000000" w:themeColor="text1"/>
              </w:rPr>
              <w:t>kg</w:t>
            </w:r>
            <w:proofErr w:type="gramEnd"/>
          </w:p>
        </w:tc>
        <w:tc>
          <w:tcPr>
            <w:tcW w:w="6254" w:type="dxa"/>
          </w:tcPr>
          <w:p w:rsidR="002B288B" w:rsidRPr="00164B1A" w:rsidRDefault="002B288B" w:rsidP="002B288B">
            <w:pPr>
              <w:jc w:val="both"/>
              <w:rPr>
                <w:color w:val="000000" w:themeColor="text1"/>
              </w:rPr>
            </w:pPr>
            <w:r w:rsidRPr="00164B1A">
              <w:rPr>
                <w:color w:val="000000" w:themeColor="text1"/>
              </w:rPr>
              <w:t>Uva passa preta, desidratada, sem adição de açúcar, em embalagem plástica de 500 gramas, com identificação do produto, marca do fabricante, peso líquido, data de fabricação e prazo de validade mínima de 01 ano.</w:t>
            </w:r>
          </w:p>
        </w:tc>
        <w:tc>
          <w:tcPr>
            <w:tcW w:w="1276" w:type="dxa"/>
          </w:tcPr>
          <w:p w:rsidR="002B288B" w:rsidRPr="00164B1A" w:rsidRDefault="002B288B" w:rsidP="002B288B">
            <w:pPr>
              <w:jc w:val="center"/>
              <w:rPr>
                <w:color w:val="000000" w:themeColor="text1"/>
              </w:rPr>
            </w:pPr>
            <w:r w:rsidRPr="00164B1A">
              <w:rPr>
                <w:color w:val="000000" w:themeColor="text1"/>
              </w:rPr>
              <w:t>230</w:t>
            </w:r>
          </w:p>
        </w:tc>
        <w:tc>
          <w:tcPr>
            <w:tcW w:w="1523" w:type="dxa"/>
          </w:tcPr>
          <w:p w:rsidR="002B288B" w:rsidRPr="00F9151B" w:rsidRDefault="005D174C" w:rsidP="002B288B">
            <w:pPr>
              <w:jc w:val="center"/>
              <w:rPr>
                <w:color w:val="000000" w:themeColor="text1"/>
              </w:rPr>
            </w:pPr>
            <w:r>
              <w:rPr>
                <w:color w:val="000000" w:themeColor="text1"/>
              </w:rPr>
              <w:t>13,09</w:t>
            </w:r>
          </w:p>
        </w:tc>
      </w:tr>
      <w:tr w:rsidR="002B288B" w:rsidRPr="00C128A5" w:rsidTr="00702CAB">
        <w:trPr>
          <w:jc w:val="center"/>
        </w:trPr>
        <w:tc>
          <w:tcPr>
            <w:tcW w:w="0" w:type="auto"/>
          </w:tcPr>
          <w:p w:rsidR="002B288B" w:rsidRPr="00164B1A" w:rsidRDefault="00164B1A" w:rsidP="002A3C1A">
            <w:pPr>
              <w:jc w:val="both"/>
              <w:rPr>
                <w:color w:val="000000" w:themeColor="text1"/>
              </w:rPr>
            </w:pPr>
            <w:r w:rsidRPr="00164B1A">
              <w:rPr>
                <w:color w:val="000000" w:themeColor="text1"/>
              </w:rPr>
              <w:t>1</w:t>
            </w:r>
            <w:r w:rsidR="002A3C1A">
              <w:rPr>
                <w:color w:val="000000" w:themeColor="text1"/>
              </w:rPr>
              <w:t>0</w:t>
            </w:r>
          </w:p>
        </w:tc>
        <w:tc>
          <w:tcPr>
            <w:tcW w:w="0" w:type="auto"/>
          </w:tcPr>
          <w:p w:rsidR="002B288B" w:rsidRPr="00164B1A" w:rsidRDefault="002B288B" w:rsidP="002B288B">
            <w:pPr>
              <w:jc w:val="both"/>
              <w:rPr>
                <w:color w:val="000000" w:themeColor="text1"/>
              </w:rPr>
            </w:pPr>
            <w:r w:rsidRPr="00164B1A">
              <w:rPr>
                <w:color w:val="000000" w:themeColor="text1"/>
              </w:rPr>
              <w:t xml:space="preserve">Kg </w:t>
            </w:r>
          </w:p>
        </w:tc>
        <w:tc>
          <w:tcPr>
            <w:tcW w:w="6254" w:type="dxa"/>
          </w:tcPr>
          <w:p w:rsidR="002B288B" w:rsidRPr="00164B1A" w:rsidRDefault="002B288B" w:rsidP="002B288B">
            <w:pPr>
              <w:pStyle w:val="Default"/>
              <w:jc w:val="both"/>
              <w:rPr>
                <w:rFonts w:asciiTheme="minorHAnsi" w:hAnsiTheme="minorHAnsi" w:cs="Times New Roman"/>
                <w:iCs/>
                <w:color w:val="000000" w:themeColor="text1"/>
                <w:sz w:val="20"/>
                <w:szCs w:val="20"/>
              </w:rPr>
            </w:pPr>
            <w:r w:rsidRPr="00164B1A">
              <w:rPr>
                <w:rFonts w:asciiTheme="minorHAnsi" w:hAnsiTheme="minorHAnsi" w:cs="Times New Roman"/>
                <w:bCs/>
                <w:iCs/>
                <w:color w:val="000000" w:themeColor="text1"/>
                <w:sz w:val="20"/>
                <w:szCs w:val="20"/>
              </w:rPr>
              <w:t>Carne bovina moída, de primeira qualidade, resfriada (coxão de dentro, coxão de fora, patinho), sem cartilagens e ossos. Em embalagem plástica, flexível, atóxica de no máximo 5 kg, que garanta a integridade do produto. C</w:t>
            </w:r>
            <w:r w:rsidRPr="00164B1A">
              <w:rPr>
                <w:rFonts w:asciiTheme="minorHAnsi" w:hAnsiTheme="minorHAnsi" w:cs="Times New Roman"/>
                <w:iCs/>
                <w:color w:val="000000" w:themeColor="text1"/>
                <w:sz w:val="20"/>
                <w:szCs w:val="20"/>
              </w:rPr>
              <w:t>om rótulo contendo peso, identificação da empresa, registro no SIF ou CISPOA, identificação do tipo de carne, com data de fabricação e prazo de validade.</w:t>
            </w:r>
          </w:p>
        </w:tc>
        <w:tc>
          <w:tcPr>
            <w:tcW w:w="1276" w:type="dxa"/>
          </w:tcPr>
          <w:p w:rsidR="002B288B" w:rsidRPr="00164B1A" w:rsidRDefault="002B288B" w:rsidP="002B288B">
            <w:pPr>
              <w:jc w:val="center"/>
              <w:rPr>
                <w:color w:val="000000" w:themeColor="text1"/>
              </w:rPr>
            </w:pPr>
            <w:r w:rsidRPr="00164B1A">
              <w:rPr>
                <w:color w:val="000000" w:themeColor="text1"/>
              </w:rPr>
              <w:t>2075</w:t>
            </w:r>
          </w:p>
        </w:tc>
        <w:tc>
          <w:tcPr>
            <w:tcW w:w="1523" w:type="dxa"/>
          </w:tcPr>
          <w:p w:rsidR="002B288B" w:rsidRPr="00F9151B" w:rsidRDefault="002A3C1A" w:rsidP="002B288B">
            <w:pPr>
              <w:jc w:val="center"/>
              <w:rPr>
                <w:color w:val="000000" w:themeColor="text1"/>
              </w:rPr>
            </w:pPr>
            <w:r>
              <w:rPr>
                <w:color w:val="000000" w:themeColor="text1"/>
              </w:rPr>
              <w:t>39,30</w:t>
            </w:r>
          </w:p>
        </w:tc>
      </w:tr>
      <w:tr w:rsidR="002B288B" w:rsidRPr="00C128A5" w:rsidTr="00702CAB">
        <w:trPr>
          <w:jc w:val="center"/>
        </w:trPr>
        <w:tc>
          <w:tcPr>
            <w:tcW w:w="0" w:type="auto"/>
          </w:tcPr>
          <w:p w:rsidR="002B288B" w:rsidRPr="00164B1A" w:rsidRDefault="00164B1A" w:rsidP="002A3C1A">
            <w:pPr>
              <w:jc w:val="both"/>
              <w:rPr>
                <w:color w:val="000000" w:themeColor="text1"/>
              </w:rPr>
            </w:pPr>
            <w:r w:rsidRPr="00164B1A">
              <w:rPr>
                <w:color w:val="000000" w:themeColor="text1"/>
              </w:rPr>
              <w:t>1</w:t>
            </w:r>
            <w:r w:rsidR="002A3C1A">
              <w:rPr>
                <w:color w:val="000000" w:themeColor="text1"/>
              </w:rPr>
              <w:t>1</w:t>
            </w:r>
          </w:p>
        </w:tc>
        <w:tc>
          <w:tcPr>
            <w:tcW w:w="0" w:type="auto"/>
          </w:tcPr>
          <w:p w:rsidR="002B288B" w:rsidRPr="00164B1A" w:rsidRDefault="002B288B" w:rsidP="002B288B">
            <w:pPr>
              <w:jc w:val="both"/>
              <w:rPr>
                <w:color w:val="000000" w:themeColor="text1"/>
              </w:rPr>
            </w:pPr>
            <w:r w:rsidRPr="00164B1A">
              <w:rPr>
                <w:color w:val="000000" w:themeColor="text1"/>
              </w:rPr>
              <w:t xml:space="preserve">Kg </w:t>
            </w:r>
          </w:p>
        </w:tc>
        <w:tc>
          <w:tcPr>
            <w:tcW w:w="6254" w:type="dxa"/>
          </w:tcPr>
          <w:p w:rsidR="002B288B" w:rsidRPr="00164B1A" w:rsidRDefault="002B288B" w:rsidP="002B288B">
            <w:pPr>
              <w:jc w:val="both"/>
              <w:rPr>
                <w:color w:val="000000" w:themeColor="text1"/>
              </w:rPr>
            </w:pPr>
            <w:r w:rsidRPr="00164B1A">
              <w:rPr>
                <w:color w:val="000000" w:themeColor="text1"/>
              </w:rPr>
              <w:t>Carne suína congelada, pernil, cortada em cubos de aproximadamente 60 gramas cada, em embalagem plástica, atóxica de aproximadamente kg. Com rótulo contendo peso, identificação da empresa, identificação do tipo de carne. Certificado de Procedência de Abatedouro inspecionado pelo Órgão de Inspeção de produtos de origem animal, registro no SIF ou CISPOA, etiquetado com data de produção e prazo de validade.</w:t>
            </w:r>
          </w:p>
        </w:tc>
        <w:tc>
          <w:tcPr>
            <w:tcW w:w="1276" w:type="dxa"/>
          </w:tcPr>
          <w:p w:rsidR="002B288B" w:rsidRPr="00164B1A" w:rsidRDefault="002B288B" w:rsidP="002B288B">
            <w:pPr>
              <w:jc w:val="center"/>
              <w:rPr>
                <w:color w:val="000000" w:themeColor="text1"/>
              </w:rPr>
            </w:pPr>
            <w:r w:rsidRPr="00164B1A">
              <w:rPr>
                <w:color w:val="000000" w:themeColor="text1"/>
              </w:rPr>
              <w:t>1075</w:t>
            </w:r>
          </w:p>
        </w:tc>
        <w:tc>
          <w:tcPr>
            <w:tcW w:w="1523" w:type="dxa"/>
          </w:tcPr>
          <w:p w:rsidR="002B288B" w:rsidRPr="00F9151B" w:rsidRDefault="002A3C1A" w:rsidP="002B288B">
            <w:pPr>
              <w:jc w:val="center"/>
              <w:rPr>
                <w:color w:val="000000" w:themeColor="text1"/>
              </w:rPr>
            </w:pPr>
            <w:r>
              <w:rPr>
                <w:color w:val="000000" w:themeColor="text1"/>
              </w:rPr>
              <w:t>17,71</w:t>
            </w:r>
          </w:p>
        </w:tc>
      </w:tr>
      <w:tr w:rsidR="002B288B" w:rsidRPr="00C128A5" w:rsidTr="00702CAB">
        <w:trPr>
          <w:jc w:val="center"/>
        </w:trPr>
        <w:tc>
          <w:tcPr>
            <w:tcW w:w="0" w:type="auto"/>
          </w:tcPr>
          <w:p w:rsidR="002B288B" w:rsidRPr="00164B1A" w:rsidRDefault="00164B1A" w:rsidP="002A3C1A">
            <w:pPr>
              <w:jc w:val="both"/>
              <w:rPr>
                <w:color w:val="000000" w:themeColor="text1"/>
              </w:rPr>
            </w:pPr>
            <w:r w:rsidRPr="00164B1A">
              <w:rPr>
                <w:color w:val="000000" w:themeColor="text1"/>
              </w:rPr>
              <w:t>1</w:t>
            </w:r>
            <w:r w:rsidR="002A3C1A">
              <w:rPr>
                <w:color w:val="000000" w:themeColor="text1"/>
              </w:rPr>
              <w:t>2</w:t>
            </w:r>
          </w:p>
        </w:tc>
        <w:tc>
          <w:tcPr>
            <w:tcW w:w="0" w:type="auto"/>
          </w:tcPr>
          <w:p w:rsidR="002B288B" w:rsidRPr="00164B1A" w:rsidRDefault="002B288B" w:rsidP="002B288B">
            <w:pPr>
              <w:jc w:val="both"/>
              <w:rPr>
                <w:color w:val="000000" w:themeColor="text1"/>
              </w:rPr>
            </w:pPr>
            <w:r w:rsidRPr="00164B1A">
              <w:rPr>
                <w:color w:val="000000" w:themeColor="text1"/>
              </w:rPr>
              <w:t xml:space="preserve">Kg </w:t>
            </w:r>
          </w:p>
        </w:tc>
        <w:tc>
          <w:tcPr>
            <w:tcW w:w="6254" w:type="dxa"/>
          </w:tcPr>
          <w:p w:rsidR="002B288B" w:rsidRPr="00164B1A" w:rsidRDefault="00702CAB" w:rsidP="0031254A">
            <w:pPr>
              <w:jc w:val="both"/>
              <w:rPr>
                <w:color w:val="000000" w:themeColor="text1"/>
              </w:rPr>
            </w:pPr>
            <w:r w:rsidRPr="00164B1A">
              <w:rPr>
                <w:color w:val="000000" w:themeColor="text1"/>
              </w:rPr>
              <w:t xml:space="preserve">Carne bovina dianteiro com osso, tipo carne de panela, contendo centro de paleta, paleta e agulha, em embalagem plástica flexível, atóxica, de no máximo 5 kg, que garanta a integridade do produto. Com rótulo contendo </w:t>
            </w:r>
            <w:r w:rsidRPr="00164B1A">
              <w:rPr>
                <w:color w:val="000000" w:themeColor="text1"/>
              </w:rPr>
              <w:lastRenderedPageBreak/>
              <w:t xml:space="preserve">peso, identificação da empresa, registro no SIF ou CISPOA, identificação do tipo de carne, </w:t>
            </w:r>
            <w:r w:rsidR="0031254A" w:rsidRPr="00164B1A">
              <w:rPr>
                <w:color w:val="000000" w:themeColor="text1"/>
              </w:rPr>
              <w:t>com data de fabricação e prazo de validade.</w:t>
            </w:r>
          </w:p>
        </w:tc>
        <w:tc>
          <w:tcPr>
            <w:tcW w:w="1276" w:type="dxa"/>
          </w:tcPr>
          <w:p w:rsidR="002B288B" w:rsidRPr="00164B1A" w:rsidRDefault="0031254A" w:rsidP="002B288B">
            <w:pPr>
              <w:jc w:val="center"/>
              <w:rPr>
                <w:color w:val="000000" w:themeColor="text1"/>
              </w:rPr>
            </w:pPr>
            <w:r w:rsidRPr="00164B1A">
              <w:rPr>
                <w:color w:val="000000" w:themeColor="text1"/>
              </w:rPr>
              <w:lastRenderedPageBreak/>
              <w:t>1200</w:t>
            </w:r>
          </w:p>
        </w:tc>
        <w:tc>
          <w:tcPr>
            <w:tcW w:w="1523" w:type="dxa"/>
          </w:tcPr>
          <w:p w:rsidR="002B288B" w:rsidRPr="00C128A5" w:rsidRDefault="002A3C1A" w:rsidP="002B288B">
            <w:pPr>
              <w:jc w:val="center"/>
              <w:rPr>
                <w:color w:val="000000" w:themeColor="text1"/>
              </w:rPr>
            </w:pPr>
            <w:r>
              <w:rPr>
                <w:color w:val="000000" w:themeColor="text1"/>
              </w:rPr>
              <w:t>36,17</w:t>
            </w:r>
          </w:p>
        </w:tc>
      </w:tr>
    </w:tbl>
    <w:p w:rsidR="002B288B" w:rsidRDefault="002B288B" w:rsidP="002B288B">
      <w:pPr>
        <w:rPr>
          <w:rFonts w:ascii="Arial" w:hAnsi="Arial" w:cs="Arial"/>
        </w:rPr>
      </w:pPr>
      <w:r>
        <w:rPr>
          <w:rFonts w:ascii="Arial" w:hAnsi="Arial" w:cs="Arial"/>
        </w:rPr>
        <w:lastRenderedPageBreak/>
        <w:t xml:space="preserve"> </w:t>
      </w:r>
    </w:p>
    <w:p w:rsidR="002B288B" w:rsidRPr="00294734" w:rsidRDefault="002B288B" w:rsidP="002B288B">
      <w:pPr>
        <w:rPr>
          <w:rFonts w:ascii="Arial" w:hAnsi="Arial" w:cs="Arial"/>
        </w:rPr>
      </w:pPr>
      <w:r w:rsidRPr="00294734">
        <w:rPr>
          <w:rFonts w:ascii="Arial" w:hAnsi="Arial" w:cs="Arial"/>
        </w:rPr>
        <w:t xml:space="preserve">1.3 </w:t>
      </w:r>
      <w:r w:rsidR="005D174C">
        <w:rPr>
          <w:rFonts w:ascii="Arial" w:hAnsi="Arial" w:cs="Arial"/>
        </w:rPr>
        <w:t>–</w:t>
      </w:r>
      <w:r w:rsidRPr="00294734">
        <w:rPr>
          <w:rFonts w:ascii="Arial" w:hAnsi="Arial" w:cs="Arial"/>
        </w:rPr>
        <w:t xml:space="preserve"> </w:t>
      </w:r>
      <w:r w:rsidR="005D174C">
        <w:rPr>
          <w:rFonts w:ascii="Arial" w:hAnsi="Arial" w:cs="Arial"/>
        </w:rPr>
        <w:t xml:space="preserve">os itens 01 </w:t>
      </w:r>
      <w:proofErr w:type="gramStart"/>
      <w:r w:rsidR="005D174C">
        <w:rPr>
          <w:rFonts w:ascii="Arial" w:hAnsi="Arial" w:cs="Arial"/>
        </w:rPr>
        <w:t>ao 09</w:t>
      </w:r>
      <w:proofErr w:type="gramEnd"/>
      <w:r w:rsidR="005D174C">
        <w:rPr>
          <w:rFonts w:ascii="Arial" w:hAnsi="Arial" w:cs="Arial"/>
        </w:rPr>
        <w:t xml:space="preserve"> serão solicitados em entrega única, a ser feita na Secretaria Municipal de Educação. Demais itens</w:t>
      </w:r>
      <w:r w:rsidRPr="00294734">
        <w:rPr>
          <w:rFonts w:ascii="Arial" w:hAnsi="Arial" w:cs="Arial"/>
        </w:rPr>
        <w:t xml:space="preserve"> serão adquiridos </w:t>
      </w:r>
      <w:r w:rsidR="00FD7872">
        <w:rPr>
          <w:rFonts w:ascii="Arial" w:hAnsi="Arial" w:cs="Arial"/>
        </w:rPr>
        <w:t>conforme a</w:t>
      </w:r>
      <w:r w:rsidR="00AC1B92">
        <w:rPr>
          <w:rFonts w:ascii="Arial" w:hAnsi="Arial" w:cs="Arial"/>
        </w:rPr>
        <w:t xml:space="preserve"> </w:t>
      </w:r>
      <w:r w:rsidR="00FD7872">
        <w:rPr>
          <w:rFonts w:ascii="Arial" w:hAnsi="Arial" w:cs="Arial"/>
        </w:rPr>
        <w:t>demanda,</w:t>
      </w:r>
      <w:r w:rsidRPr="00294734">
        <w:rPr>
          <w:rFonts w:ascii="Arial" w:hAnsi="Arial" w:cs="Arial"/>
        </w:rPr>
        <w:t xml:space="preserve"> para atender as necessidades das Escolas </w:t>
      </w:r>
      <w:r w:rsidR="00FD7872">
        <w:rPr>
          <w:rFonts w:ascii="Arial" w:hAnsi="Arial" w:cs="Arial"/>
        </w:rPr>
        <w:t>da Rede municipal.</w:t>
      </w:r>
    </w:p>
    <w:p w:rsidR="002B288B" w:rsidRPr="00294734" w:rsidRDefault="002B288B" w:rsidP="002B288B">
      <w:pPr>
        <w:rPr>
          <w:rFonts w:ascii="Arial" w:hAnsi="Arial" w:cs="Arial"/>
        </w:rPr>
      </w:pPr>
      <w:r w:rsidRPr="00294734">
        <w:rPr>
          <w:rFonts w:ascii="Arial" w:hAnsi="Arial" w:cs="Arial"/>
        </w:rPr>
        <w:t xml:space="preserve">1.4 - Os produtos licitados deverão estar rigorosamente dentro das normas vigentes da ANVISA, FNDE e das especificações estabelecidas pelos órgãos competentes. </w:t>
      </w:r>
    </w:p>
    <w:p w:rsidR="002B288B" w:rsidRDefault="002B288B" w:rsidP="002B288B">
      <w:pPr>
        <w:rPr>
          <w:rFonts w:ascii="Arial" w:hAnsi="Arial" w:cs="Arial"/>
        </w:rPr>
      </w:pPr>
    </w:p>
    <w:p w:rsidR="002B288B" w:rsidRPr="00294734" w:rsidRDefault="002B288B" w:rsidP="002B288B">
      <w:pPr>
        <w:rPr>
          <w:rFonts w:ascii="Arial" w:hAnsi="Arial" w:cs="Arial"/>
          <w:b/>
        </w:rPr>
      </w:pPr>
      <w:r w:rsidRPr="00294734">
        <w:rPr>
          <w:rFonts w:ascii="Arial" w:hAnsi="Arial" w:cs="Arial"/>
          <w:b/>
        </w:rPr>
        <w:t>2 – JUSTIFICATIVA</w:t>
      </w:r>
    </w:p>
    <w:p w:rsidR="002B288B" w:rsidRPr="00294734" w:rsidRDefault="002B288B" w:rsidP="002B288B">
      <w:pPr>
        <w:rPr>
          <w:rFonts w:ascii="Arial" w:hAnsi="Arial" w:cs="Arial"/>
        </w:rPr>
      </w:pPr>
      <w:r w:rsidRPr="00294734">
        <w:rPr>
          <w:rFonts w:ascii="Arial" w:hAnsi="Arial" w:cs="Arial"/>
        </w:rPr>
        <w:t xml:space="preserve">2.1- O presente termo tem o objetivo de atender ao que estabelecem as normas para a execução do Programa Nacional de Alimentação Escolar, através de todas as matérias legais aplicáveis, oferecendo reforço </w:t>
      </w:r>
      <w:proofErr w:type="gramStart"/>
      <w:r w:rsidRPr="00294734">
        <w:rPr>
          <w:rFonts w:ascii="Arial" w:hAnsi="Arial" w:cs="Arial"/>
        </w:rPr>
        <w:t>alimentar</w:t>
      </w:r>
      <w:proofErr w:type="gramEnd"/>
      <w:r w:rsidRPr="00294734">
        <w:rPr>
          <w:rFonts w:ascii="Arial" w:hAnsi="Arial" w:cs="Arial"/>
        </w:rPr>
        <w:t xml:space="preserve"> e nutricional aos educandos, garantindo-lhes alimentação saudável e em quantidade suficiente, conforme previsto na Portaria Interministerial nº</w:t>
      </w:r>
      <w:r w:rsidR="00360298">
        <w:rPr>
          <w:rFonts w:ascii="Arial" w:hAnsi="Arial" w:cs="Arial"/>
        </w:rPr>
        <w:t xml:space="preserve"> </w:t>
      </w:r>
      <w:r w:rsidRPr="00294734">
        <w:rPr>
          <w:rFonts w:ascii="Arial" w:hAnsi="Arial" w:cs="Arial"/>
        </w:rPr>
        <w:t>1.010, de 08 de maio de 2006, dos Ministérios da Educação e da Saúde. Considerando a universalidade do atendimento escolar gratuita,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2B288B" w:rsidRDefault="002B288B" w:rsidP="002B288B">
      <w:pPr>
        <w:rPr>
          <w:rFonts w:ascii="Arial" w:hAnsi="Arial" w:cs="Arial"/>
        </w:rPr>
      </w:pPr>
    </w:p>
    <w:p w:rsidR="002B288B" w:rsidRPr="00294734" w:rsidRDefault="002B288B" w:rsidP="002B288B">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4.1 - Serão requisitados, através da Ordem de Compra/Empenho, conforme planilha de entrega. Os produtos licitados deverão ser entregues diretamente nas escolas</w:t>
      </w:r>
      <w:r w:rsidR="00FD7872">
        <w:rPr>
          <w:rFonts w:ascii="Arial" w:hAnsi="Arial" w:cs="Arial"/>
          <w:color w:val="000000" w:themeColor="text1"/>
        </w:rPr>
        <w:t xml:space="preserve"> e na </w:t>
      </w:r>
      <w:r w:rsidR="000D64F6">
        <w:rPr>
          <w:rFonts w:ascii="Arial" w:hAnsi="Arial" w:cs="Arial"/>
          <w:color w:val="000000" w:themeColor="text1"/>
        </w:rPr>
        <w:t>S</w:t>
      </w:r>
      <w:r w:rsidR="00FD7872">
        <w:rPr>
          <w:rFonts w:ascii="Arial" w:hAnsi="Arial" w:cs="Arial"/>
          <w:color w:val="000000" w:themeColor="text1"/>
        </w:rPr>
        <w:t>ecretaria</w:t>
      </w:r>
      <w:r w:rsidR="000D64F6">
        <w:rPr>
          <w:rFonts w:ascii="Arial" w:hAnsi="Arial" w:cs="Arial"/>
          <w:color w:val="000000" w:themeColor="text1"/>
        </w:rPr>
        <w:t xml:space="preserve"> Municipal de Educação</w:t>
      </w:r>
      <w:r w:rsidRPr="008B74CC">
        <w:rPr>
          <w:rFonts w:ascii="Arial" w:hAnsi="Arial" w:cs="Arial"/>
          <w:color w:val="000000" w:themeColor="text1"/>
        </w:rPr>
        <w:t xml:space="preserve">, conforme cronograma de entrega que será entregue posteriormente. Gêneros </w:t>
      </w:r>
      <w:proofErr w:type="gramStart"/>
      <w:r w:rsidRPr="008B74CC">
        <w:rPr>
          <w:rFonts w:ascii="Arial" w:hAnsi="Arial" w:cs="Arial"/>
          <w:color w:val="000000" w:themeColor="text1"/>
        </w:rPr>
        <w:t>perecíveis</w:t>
      </w:r>
      <w:r w:rsidR="000D64F6">
        <w:rPr>
          <w:rFonts w:ascii="Arial" w:hAnsi="Arial" w:cs="Arial"/>
          <w:color w:val="000000" w:themeColor="text1"/>
        </w:rPr>
        <w:t>(</w:t>
      </w:r>
      <w:proofErr w:type="gramEnd"/>
      <w:r w:rsidR="000D64F6">
        <w:rPr>
          <w:rFonts w:ascii="Arial" w:hAnsi="Arial" w:cs="Arial"/>
          <w:color w:val="000000" w:themeColor="text1"/>
        </w:rPr>
        <w:t>carnes)</w:t>
      </w:r>
      <w:r w:rsidRPr="008B74CC">
        <w:rPr>
          <w:rFonts w:ascii="Arial" w:hAnsi="Arial" w:cs="Arial"/>
          <w:color w:val="000000" w:themeColor="text1"/>
        </w:rPr>
        <w:t xml:space="preserve">, entrega quinzenal. </w:t>
      </w:r>
    </w:p>
    <w:p w:rsidR="002B288B" w:rsidRPr="008B74CC" w:rsidRDefault="002B288B" w:rsidP="002B288B">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 conforme solicitação da Secretaria Municipa</w:t>
      </w:r>
      <w:r w:rsidR="000D64F6">
        <w:rPr>
          <w:color w:val="000000" w:themeColor="text1"/>
          <w:sz w:val="22"/>
          <w:szCs w:val="22"/>
        </w:rPr>
        <w:t>l de Educação</w:t>
      </w:r>
      <w:r w:rsidR="00FD7872">
        <w:rPr>
          <w:color w:val="000000" w:themeColor="text1"/>
          <w:sz w:val="22"/>
          <w:szCs w:val="22"/>
        </w:rPr>
        <w:t xml:space="preserve">, </w:t>
      </w:r>
      <w:r w:rsidRPr="008B74CC">
        <w:rPr>
          <w:color w:val="000000" w:themeColor="text1"/>
          <w:sz w:val="22"/>
          <w:szCs w:val="22"/>
        </w:rPr>
        <w:t>conforme definição dos locais de entrega a seguir:</w:t>
      </w:r>
    </w:p>
    <w:p w:rsidR="002B288B" w:rsidRPr="008B74CC" w:rsidRDefault="002B288B" w:rsidP="007810ED">
      <w:pPr>
        <w:pStyle w:val="Default"/>
        <w:spacing w:line="276" w:lineRule="auto"/>
        <w:jc w:val="both"/>
        <w:rPr>
          <w:color w:val="000000" w:themeColor="text1"/>
        </w:rPr>
      </w:pPr>
      <w:r w:rsidRPr="008B74CC">
        <w:rPr>
          <w:b/>
          <w:color w:val="000000" w:themeColor="text1"/>
        </w:rPr>
        <w:t xml:space="preserve">Escolas </w:t>
      </w:r>
      <w:r w:rsidR="00875ADD">
        <w:rPr>
          <w:b/>
          <w:color w:val="000000" w:themeColor="text1"/>
        </w:rPr>
        <w:t>e secretaria</w:t>
      </w:r>
      <w:r w:rsidR="005D174C">
        <w:rPr>
          <w:b/>
          <w:color w:val="000000" w:themeColor="text1"/>
        </w:rPr>
        <w:t>,</w:t>
      </w:r>
      <w:r w:rsidR="00875ADD">
        <w:rPr>
          <w:b/>
          <w:color w:val="000000" w:themeColor="text1"/>
        </w:rPr>
        <w:t xml:space="preserve"> </w:t>
      </w:r>
      <w:r w:rsidRPr="008B74CC">
        <w:rPr>
          <w:b/>
          <w:color w:val="000000" w:themeColor="text1"/>
        </w:rPr>
        <w:t>localizadas na Zona urbana:</w:t>
      </w:r>
      <w:r w:rsidRPr="008B74CC">
        <w:rPr>
          <w:color w:val="000000" w:themeColor="text1"/>
        </w:rPr>
        <w:t xml:space="preserve"> terças-feiras das 8h às 11h e das 13h às 16h;</w:t>
      </w:r>
    </w:p>
    <w:p w:rsidR="002B288B" w:rsidRPr="008B74CC" w:rsidRDefault="002B288B" w:rsidP="007810ED">
      <w:pPr>
        <w:pStyle w:val="Default"/>
        <w:spacing w:line="276" w:lineRule="auto"/>
        <w:jc w:val="both"/>
        <w:rPr>
          <w:color w:val="000000" w:themeColor="text1"/>
        </w:rPr>
      </w:pPr>
      <w:r w:rsidRPr="008B74CC">
        <w:rPr>
          <w:b/>
          <w:color w:val="000000" w:themeColor="text1"/>
        </w:rPr>
        <w:t>Escolas da Zona Rural:</w:t>
      </w:r>
      <w:r w:rsidRPr="008B74CC">
        <w:rPr>
          <w:color w:val="000000" w:themeColor="text1"/>
        </w:rPr>
        <w:t xml:space="preserve"> Nas escolas - terças-feiras, das 08h às </w:t>
      </w:r>
      <w:proofErr w:type="gramStart"/>
      <w:r w:rsidRPr="008B74CC">
        <w:rPr>
          <w:color w:val="000000" w:themeColor="text1"/>
        </w:rPr>
        <w:t>16h</w:t>
      </w:r>
      <w:proofErr w:type="gramEnd"/>
    </w:p>
    <w:p w:rsidR="002B288B" w:rsidRPr="008B74CC" w:rsidRDefault="002B288B" w:rsidP="002B288B">
      <w:pPr>
        <w:pStyle w:val="Default"/>
        <w:spacing w:line="276" w:lineRule="auto"/>
        <w:ind w:firstLine="708"/>
        <w:jc w:val="both"/>
        <w:rPr>
          <w:color w:val="000000" w:themeColor="text1"/>
        </w:rPr>
      </w:pP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4.2.1 – Tabela de distâncias entre a sede do município e as escolas rurais:</w:t>
      </w: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ab/>
      </w:r>
    </w:p>
    <w:tbl>
      <w:tblPr>
        <w:tblStyle w:val="Tabelacomgrade"/>
        <w:tblW w:w="0" w:type="auto"/>
        <w:tblInd w:w="250" w:type="dxa"/>
        <w:tblLook w:val="04A0" w:firstRow="1" w:lastRow="0" w:firstColumn="1" w:lastColumn="0" w:noHBand="0" w:noVBand="1"/>
      </w:tblPr>
      <w:tblGrid>
        <w:gridCol w:w="4924"/>
        <w:gridCol w:w="4857"/>
      </w:tblGrid>
      <w:tr w:rsidR="002B288B" w:rsidRPr="008B74CC" w:rsidTr="002B288B">
        <w:tc>
          <w:tcPr>
            <w:tcW w:w="4924"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Escola</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Distância da sede do município</w:t>
            </w:r>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E.M.E.F. Ana Teresa da Rosa</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42 Km</w:t>
            </w:r>
            <w:proofErr w:type="gramEnd"/>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 xml:space="preserve">E.M.E.F. São João </w:t>
            </w:r>
            <w:proofErr w:type="gramStart"/>
            <w:r w:rsidRPr="008B74CC">
              <w:rPr>
                <w:color w:val="000000" w:themeColor="text1"/>
                <w:sz w:val="22"/>
              </w:rPr>
              <w:t>Batista</w:t>
            </w:r>
            <w:proofErr w:type="gramEnd"/>
            <w:r w:rsidRPr="008B74CC">
              <w:rPr>
                <w:color w:val="000000" w:themeColor="text1"/>
                <w:sz w:val="22"/>
              </w:rPr>
              <w:t xml:space="preserve"> </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15 Km</w:t>
            </w:r>
            <w:proofErr w:type="gramEnd"/>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Pr>
                <w:color w:val="000000" w:themeColor="text1"/>
                <w:sz w:val="22"/>
              </w:rPr>
              <w:t>E.M.E.F. Sen. José Ermír</w:t>
            </w:r>
            <w:r w:rsidRPr="008B74CC">
              <w:rPr>
                <w:color w:val="000000" w:themeColor="text1"/>
                <w:sz w:val="22"/>
              </w:rPr>
              <w:t>io de Morais</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21 Km</w:t>
            </w:r>
            <w:proofErr w:type="gramEnd"/>
          </w:p>
        </w:tc>
      </w:tr>
    </w:tbl>
    <w:p w:rsidR="002B288B" w:rsidRPr="008B74CC" w:rsidRDefault="002B288B" w:rsidP="002B288B">
      <w:pPr>
        <w:rPr>
          <w:rFonts w:ascii="Arial" w:hAnsi="Arial" w:cs="Arial"/>
          <w:color w:val="000000" w:themeColor="text1"/>
        </w:rPr>
      </w:pP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 xml:space="preserve">4.3 – Os gêneros </w:t>
      </w:r>
      <w:proofErr w:type="gramStart"/>
      <w:r w:rsidRPr="008B74CC">
        <w:rPr>
          <w:rFonts w:ascii="Arial" w:hAnsi="Arial" w:cs="Arial"/>
          <w:color w:val="000000" w:themeColor="text1"/>
        </w:rPr>
        <w:t>perecíveis</w:t>
      </w:r>
      <w:r w:rsidR="000D64F6">
        <w:rPr>
          <w:rFonts w:ascii="Arial" w:hAnsi="Arial" w:cs="Arial"/>
          <w:color w:val="000000" w:themeColor="text1"/>
        </w:rPr>
        <w:t>(</w:t>
      </w:r>
      <w:proofErr w:type="gramEnd"/>
      <w:r w:rsidR="000D64F6">
        <w:rPr>
          <w:rFonts w:ascii="Arial" w:hAnsi="Arial" w:cs="Arial"/>
          <w:color w:val="000000" w:themeColor="text1"/>
        </w:rPr>
        <w:t>carnes)</w:t>
      </w:r>
      <w:r w:rsidRPr="008B74CC">
        <w:rPr>
          <w:rFonts w:ascii="Arial" w:hAnsi="Arial" w:cs="Arial"/>
          <w:color w:val="000000" w:themeColor="text1"/>
        </w:rPr>
        <w:t xml:space="preserve"> deverão ser transportados em veículo refrigerado e estar em acordo com as normas sanitárias vigentes.</w:t>
      </w:r>
    </w:p>
    <w:p w:rsidR="002B288B" w:rsidRPr="008B74CC" w:rsidRDefault="002B288B" w:rsidP="002B288B">
      <w:pPr>
        <w:jc w:val="left"/>
        <w:rPr>
          <w:rFonts w:ascii="Arial" w:hAnsi="Arial" w:cs="Arial"/>
          <w:bCs/>
          <w:color w:val="000000" w:themeColor="text1"/>
          <w:shd w:val="clear" w:color="auto" w:fill="FFFFFF"/>
        </w:rPr>
      </w:pPr>
      <w:r w:rsidRPr="008B74CC">
        <w:rPr>
          <w:rFonts w:ascii="Arial" w:hAnsi="Arial" w:cs="Arial"/>
          <w:bCs/>
          <w:color w:val="000000" w:themeColor="text1"/>
          <w:shd w:val="clear" w:color="auto" w:fill="FFFFFF"/>
        </w:rPr>
        <w:t>4.4 – Qualificação Técnica:</w:t>
      </w:r>
    </w:p>
    <w:p w:rsidR="00DC79A2" w:rsidRDefault="002B288B" w:rsidP="002B288B">
      <w:pPr>
        <w:rPr>
          <w:rFonts w:ascii="Arial" w:hAnsi="Arial" w:cs="Arial"/>
          <w:color w:val="000000" w:themeColor="text1"/>
          <w:shd w:val="clear" w:color="auto" w:fill="FFFFFF"/>
        </w:rPr>
      </w:pPr>
      <w:r w:rsidRPr="008B74CC">
        <w:rPr>
          <w:rFonts w:ascii="Arial" w:hAnsi="Arial" w:cs="Arial"/>
          <w:color w:val="000000" w:themeColor="text1"/>
          <w:shd w:val="clear" w:color="auto" w:fill="FFFFFF"/>
        </w:rPr>
        <w:t>I - </w:t>
      </w:r>
      <w:r w:rsidRPr="008B74CC">
        <w:rPr>
          <w:rFonts w:ascii="Arial" w:hAnsi="Arial" w:cs="Arial"/>
          <w:bCs/>
          <w:color w:val="000000" w:themeColor="text1"/>
          <w:shd w:val="clear" w:color="auto" w:fill="FFFFFF"/>
        </w:rPr>
        <w:t>Alvará Sanitário</w:t>
      </w:r>
      <w:r w:rsidRPr="008B74CC">
        <w:rPr>
          <w:rFonts w:ascii="Arial" w:hAnsi="Arial" w:cs="Arial"/>
          <w:color w:val="000000" w:themeColor="text1"/>
          <w:shd w:val="clear" w:color="auto" w:fill="FFFFFF"/>
        </w:rPr>
        <w:t xml:space="preserve"> emitido pela Vigilância Sanitária para o estabelecimento e para o veículo que será </w:t>
      </w:r>
      <w:r w:rsidR="00DC79A2">
        <w:rPr>
          <w:rFonts w:ascii="Arial" w:hAnsi="Arial" w:cs="Arial"/>
          <w:color w:val="000000" w:themeColor="text1"/>
          <w:shd w:val="clear" w:color="auto" w:fill="FFFFFF"/>
        </w:rPr>
        <w:t>u</w:t>
      </w:r>
      <w:r w:rsidRPr="008B74CC">
        <w:rPr>
          <w:rFonts w:ascii="Arial" w:hAnsi="Arial" w:cs="Arial"/>
          <w:color w:val="000000" w:themeColor="text1"/>
          <w:shd w:val="clear" w:color="auto" w:fill="FFFFFF"/>
        </w:rPr>
        <w:t>sado</w:t>
      </w:r>
      <w:r>
        <w:rPr>
          <w:rFonts w:ascii="Arial" w:hAnsi="Arial" w:cs="Arial"/>
          <w:color w:val="000000" w:themeColor="text1"/>
          <w:shd w:val="clear" w:color="auto" w:fill="FFFFFF"/>
        </w:rPr>
        <w:t xml:space="preserve"> </w:t>
      </w:r>
      <w:r w:rsidRPr="008B74CC">
        <w:rPr>
          <w:rFonts w:ascii="Arial" w:hAnsi="Arial" w:cs="Arial"/>
          <w:color w:val="000000" w:themeColor="text1"/>
          <w:shd w:val="clear" w:color="auto" w:fill="FFFFFF"/>
        </w:rPr>
        <w:t>no transporte dos produtos;</w:t>
      </w:r>
    </w:p>
    <w:p w:rsidR="002B288B" w:rsidRPr="008B74CC" w:rsidRDefault="002B288B" w:rsidP="002B288B">
      <w:pPr>
        <w:rPr>
          <w:rFonts w:ascii="Arial" w:hAnsi="Arial" w:cs="Arial"/>
          <w:color w:val="000000" w:themeColor="text1"/>
        </w:rPr>
      </w:pPr>
      <w:r w:rsidRPr="008B74CC">
        <w:rPr>
          <w:rFonts w:ascii="Arial" w:hAnsi="Arial" w:cs="Arial"/>
          <w:color w:val="000000" w:themeColor="text1"/>
          <w:shd w:val="clear" w:color="auto" w:fill="FFFFFF"/>
        </w:rPr>
        <w:lastRenderedPageBreak/>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D17F9">
      <w:pPr>
        <w:rPr>
          <w:rFonts w:ascii="Arial" w:hAnsi="Arial" w:cs="Arial"/>
        </w:rPr>
      </w:pPr>
      <w:r w:rsidRPr="00294734">
        <w:rPr>
          <w:rFonts w:ascii="Arial" w:hAnsi="Arial" w:cs="Arial"/>
        </w:rPr>
        <w:t>6.5 - Entregar produtos com validade mínima de 06 (seis) meses após a data de entrega, salvo disposição em contrário, sendo considerado o maior prazo.</w:t>
      </w:r>
    </w:p>
    <w:p w:rsidR="002B288B" w:rsidRPr="008B74CC" w:rsidRDefault="002B288B" w:rsidP="002D17F9">
      <w:pPr>
        <w:rPr>
          <w:rFonts w:ascii="Arial" w:hAnsi="Arial" w:cs="Arial"/>
        </w:rPr>
      </w:pPr>
      <w:r w:rsidRPr="008B74CC">
        <w:rPr>
          <w:rFonts w:ascii="Arial" w:hAnsi="Arial" w:cs="Arial"/>
        </w:rPr>
        <w:t xml:space="preserve"> 6.6 - Os produtos deverão ser entregues no município de Pinheiro Machado, diretamente nas escolas </w:t>
      </w:r>
      <w:r w:rsidR="00875ADD">
        <w:rPr>
          <w:rFonts w:ascii="Arial" w:hAnsi="Arial" w:cs="Arial"/>
        </w:rPr>
        <w:t xml:space="preserve">e secretarias </w:t>
      </w:r>
      <w:r w:rsidRPr="008B74CC">
        <w:rPr>
          <w:rFonts w:ascii="Arial" w:hAnsi="Arial" w:cs="Arial"/>
        </w:rPr>
        <w:t>municipais,</w:t>
      </w:r>
      <w:r>
        <w:rPr>
          <w:rFonts w:ascii="Arial" w:hAnsi="Arial" w:cs="Arial"/>
        </w:rPr>
        <w:t xml:space="preserve"> conforme descrito abaixo:</w:t>
      </w:r>
      <w:r w:rsidRPr="008B74CC">
        <w:rPr>
          <w:rFonts w:ascii="Arial" w:hAnsi="Arial" w:cs="Arial"/>
        </w:rPr>
        <w:t xml:space="preserve"> </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Ana Tereza da Rosa – Torrinhas, 2º distrito de Pinheiro </w:t>
      </w:r>
      <w:proofErr w:type="gramStart"/>
      <w:r w:rsidRPr="008B74CC">
        <w:rPr>
          <w:rFonts w:ascii="Arial" w:hAnsi="Arial" w:cs="Arial"/>
          <w:sz w:val="22"/>
          <w:szCs w:val="22"/>
        </w:rPr>
        <w:t>Machado</w:t>
      </w:r>
      <w:proofErr w:type="gramEnd"/>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Avelino de Assis Brasil – Avenida Amintas </w:t>
      </w:r>
      <w:proofErr w:type="spellStart"/>
      <w:r w:rsidRPr="008B74CC">
        <w:rPr>
          <w:rFonts w:ascii="Arial" w:hAnsi="Arial" w:cs="Arial"/>
          <w:sz w:val="22"/>
          <w:szCs w:val="22"/>
        </w:rPr>
        <w:t>Luis</w:t>
      </w:r>
      <w:proofErr w:type="spellEnd"/>
      <w:r w:rsidRPr="008B74CC">
        <w:rPr>
          <w:rFonts w:ascii="Arial" w:hAnsi="Arial" w:cs="Arial"/>
          <w:sz w:val="22"/>
          <w:szCs w:val="22"/>
        </w:rPr>
        <w:t xml:space="preserve"> Dutra, </w:t>
      </w:r>
      <w:r>
        <w:rPr>
          <w:rFonts w:ascii="Arial" w:hAnsi="Arial" w:cs="Arial"/>
          <w:sz w:val="22"/>
          <w:szCs w:val="22"/>
        </w:rPr>
        <w:t xml:space="preserve">nº </w:t>
      </w:r>
      <w:r w:rsidRPr="008B74CC">
        <w:rPr>
          <w:rFonts w:ascii="Arial" w:hAnsi="Arial" w:cs="Arial"/>
          <w:sz w:val="22"/>
          <w:szCs w:val="22"/>
        </w:rPr>
        <w:t>233</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Dois de Maio – Avenida </w:t>
      </w:r>
      <w:proofErr w:type="spellStart"/>
      <w:r w:rsidRPr="008B74CC">
        <w:rPr>
          <w:rFonts w:ascii="Arial" w:hAnsi="Arial" w:cs="Arial"/>
          <w:sz w:val="22"/>
          <w:szCs w:val="22"/>
        </w:rPr>
        <w:t>Protásio</w:t>
      </w:r>
      <w:proofErr w:type="spellEnd"/>
      <w:r w:rsidRPr="008B74CC">
        <w:rPr>
          <w:rFonts w:ascii="Arial" w:hAnsi="Arial" w:cs="Arial"/>
          <w:sz w:val="22"/>
          <w:szCs w:val="22"/>
        </w:rPr>
        <w:t xml:space="preserve"> Alves, </w:t>
      </w:r>
      <w:r>
        <w:rPr>
          <w:rFonts w:ascii="Arial" w:hAnsi="Arial" w:cs="Arial"/>
          <w:sz w:val="22"/>
          <w:szCs w:val="22"/>
        </w:rPr>
        <w:t xml:space="preserve">nº </w:t>
      </w:r>
      <w:r w:rsidRPr="008B74CC">
        <w:rPr>
          <w:rFonts w:ascii="Arial" w:hAnsi="Arial" w:cs="Arial"/>
          <w:sz w:val="22"/>
          <w:szCs w:val="22"/>
        </w:rPr>
        <w:t>172</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 Escola Municipal de Ensino Fundamental José Ermírio de Moraes – Rua Dario </w:t>
      </w:r>
      <w:proofErr w:type="spellStart"/>
      <w:r w:rsidRPr="008B74CC">
        <w:rPr>
          <w:rFonts w:ascii="Arial" w:hAnsi="Arial" w:cs="Arial"/>
          <w:sz w:val="22"/>
          <w:szCs w:val="22"/>
        </w:rPr>
        <w:t>Ratto</w:t>
      </w:r>
      <w:proofErr w:type="spellEnd"/>
      <w:r w:rsidRPr="008B74CC">
        <w:rPr>
          <w:rFonts w:ascii="Arial" w:hAnsi="Arial" w:cs="Arial"/>
          <w:sz w:val="22"/>
          <w:szCs w:val="22"/>
        </w:rPr>
        <w:t xml:space="preserve"> da Silveira, </w:t>
      </w:r>
      <w:r>
        <w:rPr>
          <w:rFonts w:ascii="Arial" w:hAnsi="Arial" w:cs="Arial"/>
          <w:sz w:val="22"/>
          <w:szCs w:val="22"/>
        </w:rPr>
        <w:t xml:space="preserve">nº </w:t>
      </w:r>
      <w:r w:rsidRPr="008B74CC">
        <w:rPr>
          <w:rFonts w:ascii="Arial" w:hAnsi="Arial" w:cs="Arial"/>
          <w:sz w:val="22"/>
          <w:szCs w:val="22"/>
        </w:rPr>
        <w:t>182, Vila Umbus</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Manoel Lucas Prisco – </w:t>
      </w:r>
      <w:proofErr w:type="gramStart"/>
      <w:r w:rsidRPr="008B74CC">
        <w:rPr>
          <w:rFonts w:ascii="Arial" w:hAnsi="Arial" w:cs="Arial"/>
          <w:sz w:val="22"/>
          <w:szCs w:val="22"/>
        </w:rPr>
        <w:t>Rua Florentino</w:t>
      </w:r>
      <w:proofErr w:type="gramEnd"/>
      <w:r w:rsidRPr="008B74CC">
        <w:rPr>
          <w:rFonts w:ascii="Arial" w:hAnsi="Arial" w:cs="Arial"/>
          <w:sz w:val="22"/>
          <w:szCs w:val="22"/>
        </w:rPr>
        <w:t xml:space="preserve"> Bueno, </w:t>
      </w:r>
      <w:r>
        <w:rPr>
          <w:rFonts w:ascii="Arial" w:hAnsi="Arial" w:cs="Arial"/>
          <w:sz w:val="22"/>
          <w:szCs w:val="22"/>
        </w:rPr>
        <w:t xml:space="preserve">nº </w:t>
      </w:r>
      <w:r w:rsidRPr="008B74CC">
        <w:rPr>
          <w:rFonts w:ascii="Arial" w:hAnsi="Arial" w:cs="Arial"/>
          <w:sz w:val="22"/>
          <w:szCs w:val="22"/>
        </w:rPr>
        <w:t>743</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Ensino Fundamental São João Batista – São João Batista, 1º distrito de Pinheiro Machado</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Educação Infantil Pin</w:t>
      </w:r>
      <w:r w:rsidR="00164B1A">
        <w:rPr>
          <w:rFonts w:ascii="Arial" w:hAnsi="Arial" w:cs="Arial"/>
          <w:sz w:val="22"/>
          <w:szCs w:val="22"/>
        </w:rPr>
        <w:t xml:space="preserve">heirinho – Rua </w:t>
      </w:r>
      <w:proofErr w:type="spellStart"/>
      <w:r w:rsidR="00164B1A">
        <w:rPr>
          <w:rFonts w:ascii="Arial" w:hAnsi="Arial" w:cs="Arial"/>
          <w:sz w:val="22"/>
          <w:szCs w:val="22"/>
        </w:rPr>
        <w:t>Gervásio</w:t>
      </w:r>
      <w:proofErr w:type="spellEnd"/>
      <w:r w:rsidR="00164B1A">
        <w:rPr>
          <w:rFonts w:ascii="Arial" w:hAnsi="Arial" w:cs="Arial"/>
          <w:sz w:val="22"/>
          <w:szCs w:val="22"/>
        </w:rPr>
        <w:t xml:space="preserve"> Tavares esquina Barão do Rio Branco;</w:t>
      </w:r>
    </w:p>
    <w:p w:rsidR="002B288B" w:rsidRDefault="002B288B" w:rsidP="002D17F9">
      <w:pPr>
        <w:rPr>
          <w:rFonts w:ascii="Arial" w:hAnsi="Arial" w:cs="Arial"/>
        </w:rPr>
      </w:pPr>
      <w:r w:rsidRPr="008B74CC">
        <w:rPr>
          <w:rFonts w:ascii="Arial" w:hAnsi="Arial" w:cs="Arial"/>
        </w:rPr>
        <w:t xml:space="preserve">Escola Municipal de </w:t>
      </w:r>
      <w:r>
        <w:rPr>
          <w:rFonts w:ascii="Arial" w:hAnsi="Arial" w:cs="Arial"/>
        </w:rPr>
        <w:t>Educação</w:t>
      </w:r>
      <w:r w:rsidRPr="008B74CC">
        <w:rPr>
          <w:rFonts w:ascii="Arial" w:hAnsi="Arial" w:cs="Arial"/>
        </w:rPr>
        <w:t xml:space="preserve"> </w:t>
      </w:r>
      <w:r>
        <w:rPr>
          <w:rFonts w:ascii="Arial" w:hAnsi="Arial" w:cs="Arial"/>
        </w:rPr>
        <w:t>Infantil</w:t>
      </w:r>
      <w:r w:rsidRPr="008B74CC">
        <w:rPr>
          <w:rFonts w:ascii="Arial" w:hAnsi="Arial" w:cs="Arial"/>
        </w:rPr>
        <w:t xml:space="preserve"> Tânia Maria </w:t>
      </w:r>
      <w:r>
        <w:rPr>
          <w:rFonts w:ascii="Arial" w:hAnsi="Arial" w:cs="Arial"/>
        </w:rPr>
        <w:t>Cardoso</w:t>
      </w:r>
      <w:r w:rsidRPr="008B74CC">
        <w:rPr>
          <w:rFonts w:ascii="Arial" w:hAnsi="Arial" w:cs="Arial"/>
        </w:rPr>
        <w:t xml:space="preserve"> – </w:t>
      </w:r>
      <w:proofErr w:type="gramStart"/>
      <w:r w:rsidRPr="008B74CC">
        <w:rPr>
          <w:rFonts w:ascii="Arial" w:hAnsi="Arial" w:cs="Arial"/>
        </w:rPr>
        <w:t>Rua Florentino</w:t>
      </w:r>
      <w:proofErr w:type="gramEnd"/>
      <w:r w:rsidRPr="008B74CC">
        <w:rPr>
          <w:rFonts w:ascii="Arial" w:hAnsi="Arial" w:cs="Arial"/>
        </w:rPr>
        <w:t xml:space="preserve"> Bueno, 1020</w:t>
      </w:r>
      <w:r w:rsidR="00164B1A">
        <w:rPr>
          <w:rFonts w:ascii="Arial" w:hAnsi="Arial" w:cs="Arial"/>
        </w:rPr>
        <w:t>;</w:t>
      </w:r>
    </w:p>
    <w:p w:rsidR="002B288B" w:rsidRDefault="00875ADD" w:rsidP="002D17F9">
      <w:pPr>
        <w:rPr>
          <w:rFonts w:ascii="Arial" w:hAnsi="Arial" w:cs="Arial"/>
        </w:rPr>
      </w:pPr>
      <w:r>
        <w:rPr>
          <w:rFonts w:ascii="Arial" w:hAnsi="Arial" w:cs="Arial"/>
        </w:rPr>
        <w:t>Secretarias Municipais: o endereço será fornecido juntamente com a ordem de compra.</w:t>
      </w:r>
    </w:p>
    <w:p w:rsidR="00875ADD" w:rsidRPr="008B74CC" w:rsidRDefault="00875ADD" w:rsidP="002B288B">
      <w:pPr>
        <w:rPr>
          <w:rFonts w:ascii="Arial" w:hAnsi="Arial" w:cs="Arial"/>
        </w:rPr>
      </w:pPr>
    </w:p>
    <w:p w:rsidR="002B288B" w:rsidRPr="008B74CC" w:rsidRDefault="002B288B" w:rsidP="002B288B">
      <w:pPr>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2B288B" w:rsidRPr="00294734" w:rsidRDefault="002B288B" w:rsidP="002B288B">
      <w:pPr>
        <w:rPr>
          <w:rFonts w:ascii="Arial" w:hAnsi="Arial" w:cs="Arial"/>
        </w:rPr>
      </w:pPr>
      <w:r w:rsidRPr="00294734">
        <w:rPr>
          <w:rFonts w:ascii="Arial" w:hAnsi="Arial" w:cs="Arial"/>
        </w:rPr>
        <w:t>6.7 - As notas fiscais deverão conter o número do Processo licitatório;</w:t>
      </w:r>
    </w:p>
    <w:p w:rsidR="002B288B" w:rsidRPr="00294734" w:rsidRDefault="002B288B" w:rsidP="002B288B">
      <w:pPr>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2B288B" w:rsidRPr="00294734" w:rsidRDefault="002B288B" w:rsidP="002B288B">
      <w:pPr>
        <w:ind w:left="567"/>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2B288B" w:rsidRPr="00294734" w:rsidRDefault="002B288B" w:rsidP="002B288B">
      <w:pPr>
        <w:ind w:left="1134"/>
        <w:rPr>
          <w:rFonts w:ascii="Arial" w:hAnsi="Arial" w:cs="Arial"/>
        </w:rPr>
      </w:pPr>
      <w:proofErr w:type="gramStart"/>
      <w:r w:rsidRPr="00294734">
        <w:rPr>
          <w:rFonts w:ascii="Arial" w:hAnsi="Arial" w:cs="Arial"/>
        </w:rPr>
        <w:t>a.</w:t>
      </w:r>
      <w:proofErr w:type="gramEnd"/>
      <w:r w:rsidRPr="00294734">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2B288B" w:rsidRPr="00294734" w:rsidRDefault="002B288B" w:rsidP="002B288B">
      <w:pPr>
        <w:rPr>
          <w:rFonts w:ascii="Arial" w:hAnsi="Arial" w:cs="Arial"/>
        </w:rPr>
      </w:pPr>
      <w:r w:rsidRPr="00294734">
        <w:rPr>
          <w:rFonts w:ascii="Arial" w:hAnsi="Arial" w:cs="Arial"/>
        </w:rPr>
        <w:lastRenderedPageBreak/>
        <w:t xml:space="preserve">6.9 – A contratada deverá cumprir todas as exigências legais que envolvem a venda de produtos para merenda escolar e gêneros alimentícios em geral.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7.1 - São deveres da Secretaria Municipal de Educação:</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prestador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8 - LOCAL DE ENTREGA/CONDIÇÕES E PRAZOS: </w:t>
      </w:r>
    </w:p>
    <w:p w:rsidR="002B288B" w:rsidRPr="00294734" w:rsidRDefault="002B288B" w:rsidP="002B288B">
      <w:pPr>
        <w:rPr>
          <w:rFonts w:ascii="Arial" w:hAnsi="Arial" w:cs="Arial"/>
        </w:rPr>
      </w:pPr>
      <w:r w:rsidRPr="00294734">
        <w:rPr>
          <w:rFonts w:ascii="Arial" w:hAnsi="Arial" w:cs="Arial"/>
        </w:rPr>
        <w:t>8.1 - A entrega do objeto obedecerá ao seguinte:</w:t>
      </w:r>
    </w:p>
    <w:p w:rsidR="002B288B" w:rsidRPr="00294734" w:rsidRDefault="002B288B" w:rsidP="002B288B">
      <w:pPr>
        <w:rPr>
          <w:rFonts w:ascii="Arial" w:hAnsi="Arial" w:cs="Arial"/>
        </w:rPr>
      </w:pPr>
      <w:r w:rsidRPr="00294734">
        <w:rPr>
          <w:rFonts w:ascii="Arial" w:hAnsi="Arial" w:cs="Arial"/>
        </w:rPr>
        <w:t xml:space="preserve">8.1.1 - A entrega dos gêneros alimentícios deverá ser realizada de forma parcelada, conforme cronograma de entrega fornecido pela Secretaria de Educação; </w:t>
      </w:r>
    </w:p>
    <w:p w:rsidR="002B288B" w:rsidRPr="00294734" w:rsidRDefault="002B288B" w:rsidP="002B288B">
      <w:pPr>
        <w:rPr>
          <w:rFonts w:ascii="Arial" w:hAnsi="Arial" w:cs="Arial"/>
        </w:rPr>
      </w:pPr>
      <w:r w:rsidRPr="00294734">
        <w:rPr>
          <w:rFonts w:ascii="Arial" w:hAnsi="Arial" w:cs="Arial"/>
        </w:rPr>
        <w:t xml:space="preserve">8.2 - Os produtos deverão ser </w:t>
      </w:r>
      <w:proofErr w:type="gramStart"/>
      <w:r w:rsidRPr="00294734">
        <w:rPr>
          <w:rFonts w:ascii="Arial" w:hAnsi="Arial" w:cs="Arial"/>
        </w:rPr>
        <w:t>entregues em embalagem original, em perfeito estado, sem sinais de violação, sem aderência ao produto, sem umidade, sem inadequação de conteúdo, nas condições de temperatura exigida em rótulo, prazo</w:t>
      </w:r>
      <w:proofErr w:type="gramEnd"/>
      <w:r w:rsidRPr="00294734">
        <w:rPr>
          <w:rFonts w:ascii="Arial" w:hAnsi="Arial" w:cs="Arial"/>
        </w:rPr>
        <w:t xml:space="preserve"> de validade impressos na embalagem e com descrições nutricionais de cada produto. </w:t>
      </w:r>
    </w:p>
    <w:p w:rsidR="002B288B" w:rsidRPr="00294734" w:rsidRDefault="002B288B" w:rsidP="002B288B">
      <w:pPr>
        <w:rPr>
          <w:rFonts w:ascii="Arial" w:hAnsi="Arial" w:cs="Arial"/>
        </w:rPr>
      </w:pPr>
      <w:r w:rsidRPr="00294734">
        <w:rPr>
          <w:rFonts w:ascii="Arial" w:hAnsi="Arial" w:cs="Arial"/>
        </w:rPr>
        <w:t xml:space="preserve">8.3 – Os produtos deverão ser entregues no prazo de até dez dias uteis após envio da ordem de compra, </w:t>
      </w:r>
      <w:proofErr w:type="gramStart"/>
      <w:r w:rsidRPr="00294734">
        <w:rPr>
          <w:rFonts w:ascii="Arial" w:hAnsi="Arial" w:cs="Arial"/>
        </w:rPr>
        <w:t>obedecendo o</w:t>
      </w:r>
      <w:proofErr w:type="gramEnd"/>
      <w:r w:rsidRPr="00294734">
        <w:rPr>
          <w:rFonts w:ascii="Arial" w:hAnsi="Arial" w:cs="Arial"/>
        </w:rPr>
        <w:t xml:space="preserve"> cronograma do setor de merenda escolar. </w:t>
      </w:r>
    </w:p>
    <w:p w:rsidR="002B288B" w:rsidRDefault="002B288B" w:rsidP="002B288B">
      <w:pPr>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9 - DISPOSIÇÕES GERAIS: </w:t>
      </w:r>
    </w:p>
    <w:p w:rsidR="002B288B" w:rsidRPr="00294734" w:rsidRDefault="002B288B" w:rsidP="002B288B">
      <w:pPr>
        <w:rPr>
          <w:rFonts w:ascii="Arial" w:hAnsi="Arial" w:cs="Arial"/>
        </w:rPr>
      </w:pPr>
      <w:r w:rsidRPr="00294734">
        <w:rPr>
          <w:rFonts w:ascii="Arial" w:hAnsi="Arial" w:cs="Arial"/>
        </w:rPr>
        <w:t>9.1 -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2B288B" w:rsidRPr="00294734" w:rsidRDefault="002B288B" w:rsidP="002B288B">
      <w:pPr>
        <w:rPr>
          <w:rFonts w:ascii="Arial" w:hAnsi="Arial" w:cs="Arial"/>
        </w:rPr>
      </w:pPr>
      <w:r w:rsidRPr="00294734">
        <w:rPr>
          <w:rFonts w:ascii="Arial" w:hAnsi="Arial" w:cs="Arial"/>
        </w:rPr>
        <w:t xml:space="preserve">9.2 - Serão recebidos, apenas e exclusivamente, Gêneros Alimentícios condizentes com as amostras apresentadas. </w:t>
      </w:r>
    </w:p>
    <w:p w:rsidR="002B288B" w:rsidRPr="00294734" w:rsidRDefault="002B288B" w:rsidP="002B288B">
      <w:pPr>
        <w:rPr>
          <w:rFonts w:ascii="Arial" w:hAnsi="Arial" w:cs="Arial"/>
        </w:rPr>
      </w:pPr>
      <w:r w:rsidRPr="00294734">
        <w:rPr>
          <w:rFonts w:ascii="Arial" w:hAnsi="Arial" w:cs="Arial"/>
        </w:rPr>
        <w:t xml:space="preserve">9.3 – Compete a Secretaria Municipal de Educação, ao Conselho de Alimentação Escolar (CAE) e a Nutricionista, proceder ao acompanhamento, controle e fiscalização da entrega dos Gêneros Alimentícios. </w:t>
      </w:r>
    </w:p>
    <w:p w:rsidR="002B288B" w:rsidRPr="00294734" w:rsidRDefault="002B288B" w:rsidP="002B288B">
      <w:pPr>
        <w:rPr>
          <w:rFonts w:ascii="Arial" w:hAnsi="Arial" w:cs="Arial"/>
        </w:rPr>
      </w:pPr>
      <w:r w:rsidRPr="00294734">
        <w:rPr>
          <w:rFonts w:ascii="Arial" w:hAnsi="Arial" w:cs="Arial"/>
        </w:rPr>
        <w:t>9.4 - O pagamento será feito após efetiva entrega dos Gêneros Alimentícios mediante apresentação da Ordem de Compra e Nota Fiscal Eletrônica devidamente datada e atestada pelo setor competente, em até 30 dias.</w:t>
      </w:r>
    </w:p>
    <w:p w:rsidR="002B288B" w:rsidRPr="00294734" w:rsidRDefault="002B288B" w:rsidP="002B288B">
      <w:pPr>
        <w:rPr>
          <w:rFonts w:ascii="Arial" w:hAnsi="Arial" w:cs="Arial"/>
        </w:rPr>
      </w:pPr>
      <w:r w:rsidRPr="00294734">
        <w:rPr>
          <w:rFonts w:ascii="Arial" w:hAnsi="Arial" w:cs="Arial"/>
        </w:rPr>
        <w:t xml:space="preserve">9.5 - Todo o produto deteriorado, ainda que, com data de validade vigente, deverá ser trocado pelo fornecedor, no prazo de 48h (quarenta e oito horas), sem adição de qualquer ônus para o município.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10 - PROCEDIMENTOS DE FISCALIZAÇÃO </w:t>
      </w:r>
    </w:p>
    <w:p w:rsidR="002B288B" w:rsidRPr="00294734" w:rsidRDefault="002B288B" w:rsidP="002B288B">
      <w:pPr>
        <w:rPr>
          <w:rFonts w:ascii="Arial" w:hAnsi="Arial" w:cs="Arial"/>
        </w:rPr>
      </w:pPr>
      <w:r w:rsidRPr="00294734">
        <w:rPr>
          <w:rFonts w:ascii="Arial" w:hAnsi="Arial" w:cs="Arial"/>
        </w:rPr>
        <w:t xml:space="preserve">10.1 - A presença da fiscalização do Contratante não elide nem diminui a responsabilidade da empresa contratada; </w:t>
      </w:r>
    </w:p>
    <w:p w:rsidR="002B288B" w:rsidRPr="00294734" w:rsidRDefault="002B288B" w:rsidP="002B288B">
      <w:pPr>
        <w:rPr>
          <w:rFonts w:ascii="Arial" w:hAnsi="Arial" w:cs="Arial"/>
        </w:rPr>
      </w:pPr>
      <w:r w:rsidRPr="00294734">
        <w:rPr>
          <w:rFonts w:ascii="Arial" w:hAnsi="Arial" w:cs="Arial"/>
        </w:rPr>
        <w:lastRenderedPageBreak/>
        <w:t xml:space="preserve">10.2 - No momento da entrega dos produtos solicitados estará presente um servidor municipal designado como fiscal para conferencia da entrega; </w:t>
      </w:r>
    </w:p>
    <w:p w:rsidR="002B288B" w:rsidRPr="00294734" w:rsidRDefault="002B288B" w:rsidP="002B288B">
      <w:pPr>
        <w:rPr>
          <w:rFonts w:ascii="Arial" w:hAnsi="Arial" w:cs="Arial"/>
        </w:rPr>
      </w:pPr>
      <w:r w:rsidRPr="00294734">
        <w:rPr>
          <w:rFonts w:ascii="Arial" w:hAnsi="Arial" w:cs="Arial"/>
        </w:rPr>
        <w:t>10.3 - O responsável pela conferência da entrega dos produtos</w:t>
      </w:r>
      <w:proofErr w:type="gramStart"/>
      <w:r w:rsidRPr="00294734">
        <w:rPr>
          <w:rFonts w:ascii="Arial" w:hAnsi="Arial" w:cs="Arial"/>
        </w:rPr>
        <w:t>, receberá</w:t>
      </w:r>
      <w:proofErr w:type="gramEnd"/>
      <w:r w:rsidRPr="00294734">
        <w:rPr>
          <w:rFonts w:ascii="Arial" w:hAnsi="Arial" w:cs="Arial"/>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2B288B" w:rsidRPr="00294734" w:rsidRDefault="002B288B" w:rsidP="002B288B">
      <w:pPr>
        <w:rPr>
          <w:rFonts w:ascii="Arial" w:hAnsi="Arial" w:cs="Arial"/>
        </w:rPr>
      </w:pPr>
    </w:p>
    <w:p w:rsidR="002B288B" w:rsidRPr="00294734" w:rsidRDefault="002B288B" w:rsidP="002B288B">
      <w:pPr>
        <w:rPr>
          <w:rFonts w:ascii="Arial" w:hAnsi="Arial" w:cs="Arial"/>
        </w:rPr>
      </w:pPr>
      <w:r w:rsidRPr="00294734">
        <w:rPr>
          <w:rFonts w:ascii="Arial" w:hAnsi="Arial" w:cs="Arial"/>
        </w:rPr>
        <w:t>Este termo foi elaborado por:</w:t>
      </w:r>
    </w:p>
    <w:p w:rsidR="002B288B" w:rsidRDefault="002B288B" w:rsidP="002B288B">
      <w:pPr>
        <w:rPr>
          <w:rFonts w:ascii="Arial" w:hAnsi="Arial" w:cs="Arial"/>
        </w:rPr>
      </w:pPr>
    </w:p>
    <w:p w:rsidR="002B288B"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____________________________________________</w:t>
      </w:r>
    </w:p>
    <w:p w:rsidR="002B288B" w:rsidRPr="00294734" w:rsidRDefault="002B288B" w:rsidP="002B288B">
      <w:pPr>
        <w:jc w:val="center"/>
        <w:rPr>
          <w:rFonts w:ascii="Arial" w:hAnsi="Arial" w:cs="Arial"/>
        </w:rPr>
      </w:pPr>
      <w:r w:rsidRPr="00294734">
        <w:rPr>
          <w:rFonts w:ascii="Arial" w:hAnsi="Arial" w:cs="Arial"/>
        </w:rPr>
        <w:t>Fabiane Goulart Mena</w:t>
      </w:r>
    </w:p>
    <w:p w:rsidR="002B288B" w:rsidRDefault="002B288B" w:rsidP="002B288B">
      <w:pPr>
        <w:jc w:val="center"/>
        <w:rPr>
          <w:rFonts w:ascii="Arial" w:hAnsi="Arial" w:cs="Arial"/>
        </w:rPr>
      </w:pPr>
      <w:r w:rsidRPr="00294734">
        <w:rPr>
          <w:rFonts w:ascii="Arial" w:hAnsi="Arial" w:cs="Arial"/>
        </w:rPr>
        <w:t>Nutricionista</w:t>
      </w:r>
    </w:p>
    <w:p w:rsidR="002B288B"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w:t>
      </w:r>
    </w:p>
    <w:p w:rsidR="002B288B" w:rsidRPr="00294734" w:rsidRDefault="002B288B" w:rsidP="002B288B">
      <w:pPr>
        <w:jc w:val="center"/>
        <w:rPr>
          <w:rFonts w:ascii="Arial" w:hAnsi="Arial" w:cs="Arial"/>
        </w:rPr>
      </w:pPr>
      <w:r w:rsidRPr="00294734">
        <w:rPr>
          <w:rFonts w:ascii="Arial" w:hAnsi="Arial" w:cs="Arial"/>
        </w:rPr>
        <w:t>Jaqueline Castro dos Santos</w:t>
      </w:r>
    </w:p>
    <w:p w:rsidR="002B288B" w:rsidRPr="00294734" w:rsidRDefault="002B288B" w:rsidP="002B288B">
      <w:pPr>
        <w:jc w:val="center"/>
        <w:rPr>
          <w:rFonts w:ascii="Arial" w:hAnsi="Arial" w:cs="Arial"/>
        </w:rPr>
      </w:pPr>
      <w:r w:rsidRPr="00294734">
        <w:rPr>
          <w:rFonts w:ascii="Arial" w:hAnsi="Arial" w:cs="Arial"/>
        </w:rPr>
        <w:t>Secretária Municipal de Educação</w:t>
      </w:r>
    </w:p>
    <w:p w:rsidR="002B288B" w:rsidRDefault="002B288B" w:rsidP="002B288B">
      <w:pPr>
        <w:ind w:right="-2"/>
        <w:jc w:val="center"/>
        <w:rPr>
          <w:rFonts w:cstheme="minorHAnsi"/>
          <w:sz w:val="24"/>
          <w:szCs w:val="24"/>
        </w:rPr>
      </w:pPr>
    </w:p>
    <w:p w:rsidR="003F53EA" w:rsidRDefault="003F53EA"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75ADD">
        <w:rPr>
          <w:rFonts w:ascii="Arial" w:hAnsi="Arial" w:cs="Arial"/>
          <w:sz w:val="22"/>
          <w:szCs w:val="22"/>
        </w:rPr>
        <w:t>gêneros alimentícios</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w:t>
      </w:r>
      <w:r w:rsidR="00EE3C00">
        <w:rPr>
          <w:rFonts w:ascii="Arial" w:hAnsi="Arial" w:cs="Arial"/>
        </w:rPr>
        <w:t>110/2022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4F0A87">
        <w:rPr>
          <w:rFonts w:ascii="Arial" w:hAnsi="Arial" w:cs="Arial"/>
        </w:rPr>
        <w:t>122</w:t>
      </w:r>
      <w:r w:rsidR="007810ED">
        <w:rPr>
          <w:rFonts w:ascii="Arial" w:hAnsi="Arial" w:cs="Arial"/>
        </w:rPr>
        <w:t>/2022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75ADD">
        <w:rPr>
          <w:rFonts w:ascii="Arial" w:hAnsi="Arial" w:cs="Arial"/>
        </w:rPr>
        <w:t>Gêneros alimentícios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EE3C00">
        <w:rPr>
          <w:rFonts w:ascii="Arial" w:hAnsi="Arial" w:cs="Arial"/>
        </w:rPr>
        <w:t>110/2022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rsidTr="003121D5">
        <w:trPr>
          <w:trHeight w:val="674"/>
        </w:trPr>
        <w:tc>
          <w:tcPr>
            <w:tcW w:w="1323" w:type="dxa"/>
            <w:tcBorders>
              <w:top w:val="nil"/>
              <w:left w:val="single" w:sz="2" w:space="0" w:color="000000"/>
              <w:bottom w:val="single" w:sz="2" w:space="0" w:color="000000"/>
              <w:right w:val="nil"/>
            </w:tcBorders>
            <w:vAlign w:val="center"/>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rsidTr="003121D5">
        <w:trPr>
          <w:trHeight w:val="174"/>
        </w:trPr>
        <w:tc>
          <w:tcPr>
            <w:tcW w:w="132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rsidR="003121D5" w:rsidRPr="007C03C9" w:rsidRDefault="003121D5"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 xml:space="preserve">.1 Não </w:t>
      </w:r>
      <w:proofErr w:type="gramStart"/>
      <w:r w:rsidR="00A74243" w:rsidRPr="00875ADD">
        <w:rPr>
          <w:rFonts w:ascii="Arial" w:hAnsi="Arial" w:cs="Arial"/>
          <w:color w:val="000000" w:themeColor="text1"/>
        </w:rPr>
        <w:t>será</w:t>
      </w:r>
      <w:proofErr w:type="gramEnd"/>
      <w:r w:rsidR="00A74243" w:rsidRPr="00875ADD">
        <w:rPr>
          <w:rFonts w:ascii="Arial" w:hAnsi="Arial" w:cs="Arial"/>
          <w:color w:val="000000" w:themeColor="text1"/>
        </w:rPr>
        <w:t xml:space="preserve">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lastRenderedPageBreak/>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EE3C00">
        <w:rPr>
          <w:rFonts w:ascii="Arial" w:hAnsi="Arial" w:cs="Arial"/>
          <w:color w:val="000000" w:themeColor="text1"/>
        </w:rPr>
        <w:t>110/2022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75ADD">
        <w:rPr>
          <w:rFonts w:ascii="Arial" w:hAnsi="Arial" w:cs="Arial"/>
          <w:color w:val="000000"/>
          <w:sz w:val="22"/>
          <w:szCs w:val="22"/>
        </w:rPr>
        <w:t>Gêneros alimentícios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EE3C00">
        <w:rPr>
          <w:rFonts w:ascii="Arial" w:hAnsi="Arial" w:cs="Arial"/>
          <w:color w:val="000000"/>
          <w:sz w:val="22"/>
          <w:szCs w:val="22"/>
        </w:rPr>
        <w:t>110/2022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EE3C00">
        <w:rPr>
          <w:rFonts w:ascii="Arial" w:hAnsi="Arial" w:cs="Arial"/>
          <w:color w:val="000000"/>
          <w:sz w:val="22"/>
          <w:szCs w:val="22"/>
        </w:rPr>
        <w:t>110/2022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21" w:rsidRDefault="00A44A21" w:rsidP="00C27B4B">
      <w:pPr>
        <w:spacing w:line="240" w:lineRule="auto"/>
      </w:pPr>
      <w:r>
        <w:separator/>
      </w:r>
    </w:p>
  </w:endnote>
  <w:endnote w:type="continuationSeparator" w:id="0">
    <w:p w:rsidR="00A44A21" w:rsidRDefault="00A44A2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21" w:rsidRDefault="00A44A21" w:rsidP="00C27B4B">
      <w:pPr>
        <w:spacing w:line="240" w:lineRule="auto"/>
      </w:pPr>
      <w:r>
        <w:separator/>
      </w:r>
    </w:p>
  </w:footnote>
  <w:footnote w:type="continuationSeparator" w:id="0">
    <w:p w:rsidR="00A44A21" w:rsidRDefault="00A44A2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00" w:rsidRPr="008F4B86" w:rsidRDefault="00EE3C00"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E3C00" w:rsidRPr="008F4B86" w:rsidRDefault="00EE3C00"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EE3C00" w:rsidRPr="00713D92" w:rsidRDefault="00EE3C00"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E3C00" w:rsidRPr="00C27B4B" w:rsidRDefault="00EE3C00" w:rsidP="00C27B4B">
    <w:pPr>
      <w:pStyle w:val="Cabealho"/>
      <w:pBdr>
        <w:bottom w:val="single" w:sz="12" w:space="1" w:color="auto"/>
      </w:pBdr>
      <w:tabs>
        <w:tab w:val="clear" w:pos="4252"/>
        <w:tab w:val="clear" w:pos="8504"/>
      </w:tabs>
      <w:jc w:val="center"/>
      <w:rPr>
        <w:rFonts w:ascii="Arial" w:hAnsi="Arial" w:cs="Arial"/>
        <w:bCs/>
        <w:sz w:val="8"/>
        <w:szCs w:val="8"/>
      </w:rPr>
    </w:pPr>
  </w:p>
  <w:p w:rsidR="00EE3C00" w:rsidRDefault="00EE3C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1">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7"/>
  </w:num>
  <w:num w:numId="4">
    <w:abstractNumId w:val="44"/>
  </w:num>
  <w:num w:numId="5">
    <w:abstractNumId w:val="17"/>
  </w:num>
  <w:num w:numId="6">
    <w:abstractNumId w:val="29"/>
  </w:num>
  <w:num w:numId="7">
    <w:abstractNumId w:val="31"/>
  </w:num>
  <w:num w:numId="8">
    <w:abstractNumId w:val="20"/>
  </w:num>
  <w:num w:numId="9">
    <w:abstractNumId w:val="12"/>
  </w:num>
  <w:num w:numId="10">
    <w:abstractNumId w:val="47"/>
  </w:num>
  <w:num w:numId="11">
    <w:abstractNumId w:val="46"/>
  </w:num>
  <w:num w:numId="12">
    <w:abstractNumId w:val="19"/>
  </w:num>
  <w:num w:numId="13">
    <w:abstractNumId w:val="35"/>
  </w:num>
  <w:num w:numId="14">
    <w:abstractNumId w:val="13"/>
  </w:num>
  <w:num w:numId="15">
    <w:abstractNumId w:val="32"/>
  </w:num>
  <w:num w:numId="16">
    <w:abstractNumId w:val="26"/>
  </w:num>
  <w:num w:numId="17">
    <w:abstractNumId w:val="41"/>
  </w:num>
  <w:num w:numId="18">
    <w:abstractNumId w:val="23"/>
  </w:num>
  <w:num w:numId="19">
    <w:abstractNumId w:val="18"/>
  </w:num>
  <w:num w:numId="20">
    <w:abstractNumId w:val="7"/>
  </w:num>
  <w:num w:numId="21">
    <w:abstractNumId w:val="48"/>
  </w:num>
  <w:num w:numId="22">
    <w:abstractNumId w:val="30"/>
  </w:num>
  <w:num w:numId="23">
    <w:abstractNumId w:val="28"/>
  </w:num>
  <w:num w:numId="24">
    <w:abstractNumId w:val="21"/>
  </w:num>
  <w:num w:numId="25">
    <w:abstractNumId w:val="14"/>
  </w:num>
  <w:num w:numId="26">
    <w:abstractNumId w:val="42"/>
  </w:num>
  <w:num w:numId="27">
    <w:abstractNumId w:val="27"/>
  </w:num>
  <w:num w:numId="28">
    <w:abstractNumId w:val="34"/>
  </w:num>
  <w:num w:numId="29">
    <w:abstractNumId w:val="45"/>
  </w:num>
  <w:num w:numId="30">
    <w:abstractNumId w:val="22"/>
  </w:num>
  <w:num w:numId="31">
    <w:abstractNumId w:val="4"/>
  </w:num>
  <w:num w:numId="32">
    <w:abstractNumId w:val="36"/>
  </w:num>
  <w:num w:numId="33">
    <w:abstractNumId w:val="9"/>
  </w:num>
  <w:num w:numId="34">
    <w:abstractNumId w:val="10"/>
  </w:num>
  <w:num w:numId="35">
    <w:abstractNumId w:val="15"/>
  </w:num>
  <w:num w:numId="36">
    <w:abstractNumId w:val="8"/>
  </w:num>
  <w:num w:numId="37">
    <w:abstractNumId w:val="39"/>
  </w:num>
  <w:num w:numId="38">
    <w:abstractNumId w:val="24"/>
  </w:num>
  <w:num w:numId="39">
    <w:abstractNumId w:val="5"/>
  </w:num>
  <w:num w:numId="40">
    <w:abstractNumId w:val="1"/>
  </w:num>
  <w:num w:numId="41">
    <w:abstractNumId w:val="43"/>
  </w:num>
  <w:num w:numId="42">
    <w:abstractNumId w:val="40"/>
  </w:num>
  <w:num w:numId="43">
    <w:abstractNumId w:val="3"/>
  </w:num>
  <w:num w:numId="44">
    <w:abstractNumId w:val="0"/>
  </w:num>
  <w:num w:numId="45">
    <w:abstractNumId w:val="2"/>
  </w:num>
  <w:num w:numId="46">
    <w:abstractNumId w:val="11"/>
  </w:num>
  <w:num w:numId="47">
    <w:abstractNumId w:val="6"/>
  </w:num>
  <w:num w:numId="48">
    <w:abstractNumId w:val="2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70266"/>
    <w:rsid w:val="00076669"/>
    <w:rsid w:val="00082E5E"/>
    <w:rsid w:val="0008450B"/>
    <w:rsid w:val="00084EB7"/>
    <w:rsid w:val="000863D0"/>
    <w:rsid w:val="0009044D"/>
    <w:rsid w:val="00093143"/>
    <w:rsid w:val="00094D4D"/>
    <w:rsid w:val="000B610E"/>
    <w:rsid w:val="000C1BC0"/>
    <w:rsid w:val="000C30AB"/>
    <w:rsid w:val="000D02FF"/>
    <w:rsid w:val="000D25AF"/>
    <w:rsid w:val="000D64F6"/>
    <w:rsid w:val="000D7FC6"/>
    <w:rsid w:val="000E0A68"/>
    <w:rsid w:val="0010677E"/>
    <w:rsid w:val="00106B7A"/>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79CA"/>
    <w:rsid w:val="001A0C58"/>
    <w:rsid w:val="001A2BB3"/>
    <w:rsid w:val="001D0D5B"/>
    <w:rsid w:val="001D5204"/>
    <w:rsid w:val="001D5F07"/>
    <w:rsid w:val="001D707F"/>
    <w:rsid w:val="001D7CB2"/>
    <w:rsid w:val="001D7DF0"/>
    <w:rsid w:val="001E473B"/>
    <w:rsid w:val="001F14BD"/>
    <w:rsid w:val="001F43CB"/>
    <w:rsid w:val="002045E1"/>
    <w:rsid w:val="00207600"/>
    <w:rsid w:val="00210C1F"/>
    <w:rsid w:val="0021436D"/>
    <w:rsid w:val="00215A41"/>
    <w:rsid w:val="002234D6"/>
    <w:rsid w:val="0023741B"/>
    <w:rsid w:val="002430D7"/>
    <w:rsid w:val="00247D0F"/>
    <w:rsid w:val="00281606"/>
    <w:rsid w:val="00284D99"/>
    <w:rsid w:val="00293313"/>
    <w:rsid w:val="0029520C"/>
    <w:rsid w:val="002957A3"/>
    <w:rsid w:val="002A1BAD"/>
    <w:rsid w:val="002A3C1A"/>
    <w:rsid w:val="002B04CB"/>
    <w:rsid w:val="002B11E4"/>
    <w:rsid w:val="002B26B7"/>
    <w:rsid w:val="002B288B"/>
    <w:rsid w:val="002B5886"/>
    <w:rsid w:val="002B6346"/>
    <w:rsid w:val="002B6621"/>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503A"/>
    <w:rsid w:val="00326A86"/>
    <w:rsid w:val="0033263B"/>
    <w:rsid w:val="0034724B"/>
    <w:rsid w:val="00347648"/>
    <w:rsid w:val="003479B2"/>
    <w:rsid w:val="00352F38"/>
    <w:rsid w:val="00360298"/>
    <w:rsid w:val="00360D67"/>
    <w:rsid w:val="00363EAA"/>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242AD"/>
    <w:rsid w:val="004436C9"/>
    <w:rsid w:val="004712A9"/>
    <w:rsid w:val="004724F5"/>
    <w:rsid w:val="00472571"/>
    <w:rsid w:val="00474C12"/>
    <w:rsid w:val="0048328D"/>
    <w:rsid w:val="0048352D"/>
    <w:rsid w:val="004849B1"/>
    <w:rsid w:val="00486D81"/>
    <w:rsid w:val="00497295"/>
    <w:rsid w:val="004A6231"/>
    <w:rsid w:val="004A70B9"/>
    <w:rsid w:val="004B6718"/>
    <w:rsid w:val="004D572E"/>
    <w:rsid w:val="004E37D6"/>
    <w:rsid w:val="004E510D"/>
    <w:rsid w:val="004E5E25"/>
    <w:rsid w:val="004F0A87"/>
    <w:rsid w:val="004F19CE"/>
    <w:rsid w:val="004F5CC9"/>
    <w:rsid w:val="004F6619"/>
    <w:rsid w:val="00504ECF"/>
    <w:rsid w:val="00506F75"/>
    <w:rsid w:val="005101B8"/>
    <w:rsid w:val="005266B5"/>
    <w:rsid w:val="00530CBB"/>
    <w:rsid w:val="0053746D"/>
    <w:rsid w:val="00560401"/>
    <w:rsid w:val="005763D8"/>
    <w:rsid w:val="00594CE8"/>
    <w:rsid w:val="005B0DB9"/>
    <w:rsid w:val="005B1E6F"/>
    <w:rsid w:val="005B2213"/>
    <w:rsid w:val="005B78DD"/>
    <w:rsid w:val="005C396D"/>
    <w:rsid w:val="005C6376"/>
    <w:rsid w:val="005D174C"/>
    <w:rsid w:val="005D7E62"/>
    <w:rsid w:val="005E5746"/>
    <w:rsid w:val="005F5865"/>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2CAB"/>
    <w:rsid w:val="007051CA"/>
    <w:rsid w:val="00707CFA"/>
    <w:rsid w:val="00713706"/>
    <w:rsid w:val="00715C80"/>
    <w:rsid w:val="007213A1"/>
    <w:rsid w:val="00727E57"/>
    <w:rsid w:val="0073519C"/>
    <w:rsid w:val="00741027"/>
    <w:rsid w:val="00746FA9"/>
    <w:rsid w:val="00751E14"/>
    <w:rsid w:val="007552BC"/>
    <w:rsid w:val="007578CE"/>
    <w:rsid w:val="00766DC9"/>
    <w:rsid w:val="007810ED"/>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283D"/>
    <w:rsid w:val="007F5A29"/>
    <w:rsid w:val="00817B56"/>
    <w:rsid w:val="008425AD"/>
    <w:rsid w:val="00843577"/>
    <w:rsid w:val="00866018"/>
    <w:rsid w:val="00875ADD"/>
    <w:rsid w:val="00880E06"/>
    <w:rsid w:val="008903C8"/>
    <w:rsid w:val="008925E7"/>
    <w:rsid w:val="00894593"/>
    <w:rsid w:val="008B154C"/>
    <w:rsid w:val="008B403E"/>
    <w:rsid w:val="008B68A3"/>
    <w:rsid w:val="008D4129"/>
    <w:rsid w:val="008E3748"/>
    <w:rsid w:val="008F129A"/>
    <w:rsid w:val="008F1866"/>
    <w:rsid w:val="008F42CF"/>
    <w:rsid w:val="008F67A1"/>
    <w:rsid w:val="009003CB"/>
    <w:rsid w:val="00900AEB"/>
    <w:rsid w:val="00901DE2"/>
    <w:rsid w:val="00907DE4"/>
    <w:rsid w:val="00917739"/>
    <w:rsid w:val="00917C2E"/>
    <w:rsid w:val="00922066"/>
    <w:rsid w:val="0092672F"/>
    <w:rsid w:val="0093080D"/>
    <w:rsid w:val="0094537B"/>
    <w:rsid w:val="0095694F"/>
    <w:rsid w:val="00957AC7"/>
    <w:rsid w:val="00980B07"/>
    <w:rsid w:val="00985CA3"/>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44A21"/>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7637"/>
    <w:rsid w:val="00B43683"/>
    <w:rsid w:val="00B45B1D"/>
    <w:rsid w:val="00B658EB"/>
    <w:rsid w:val="00B75B28"/>
    <w:rsid w:val="00B7603F"/>
    <w:rsid w:val="00B7639F"/>
    <w:rsid w:val="00B84A95"/>
    <w:rsid w:val="00B85B8F"/>
    <w:rsid w:val="00B9123D"/>
    <w:rsid w:val="00BB07F9"/>
    <w:rsid w:val="00BB68F4"/>
    <w:rsid w:val="00BB75A5"/>
    <w:rsid w:val="00BC1953"/>
    <w:rsid w:val="00BF2D00"/>
    <w:rsid w:val="00BF4F6B"/>
    <w:rsid w:val="00BF7F26"/>
    <w:rsid w:val="00C05D55"/>
    <w:rsid w:val="00C17594"/>
    <w:rsid w:val="00C21414"/>
    <w:rsid w:val="00C24D46"/>
    <w:rsid w:val="00C2560D"/>
    <w:rsid w:val="00C27B4B"/>
    <w:rsid w:val="00C3583E"/>
    <w:rsid w:val="00C365BB"/>
    <w:rsid w:val="00C41D80"/>
    <w:rsid w:val="00C506ED"/>
    <w:rsid w:val="00C61726"/>
    <w:rsid w:val="00C83C24"/>
    <w:rsid w:val="00C92515"/>
    <w:rsid w:val="00C95920"/>
    <w:rsid w:val="00CB1AE2"/>
    <w:rsid w:val="00CD0061"/>
    <w:rsid w:val="00CD26B7"/>
    <w:rsid w:val="00CE4F53"/>
    <w:rsid w:val="00CE79F9"/>
    <w:rsid w:val="00D0412D"/>
    <w:rsid w:val="00D12D42"/>
    <w:rsid w:val="00D1758B"/>
    <w:rsid w:val="00D22021"/>
    <w:rsid w:val="00D44E92"/>
    <w:rsid w:val="00D45AD8"/>
    <w:rsid w:val="00D54068"/>
    <w:rsid w:val="00D569A6"/>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379EB"/>
    <w:rsid w:val="00E429AC"/>
    <w:rsid w:val="00E42FA9"/>
    <w:rsid w:val="00E45E6A"/>
    <w:rsid w:val="00E826FC"/>
    <w:rsid w:val="00E90A93"/>
    <w:rsid w:val="00EA0CDE"/>
    <w:rsid w:val="00EA12F3"/>
    <w:rsid w:val="00EA20EA"/>
    <w:rsid w:val="00EA52A6"/>
    <w:rsid w:val="00EA584D"/>
    <w:rsid w:val="00EB0CF5"/>
    <w:rsid w:val="00ED57E9"/>
    <w:rsid w:val="00EE046A"/>
    <w:rsid w:val="00EE0932"/>
    <w:rsid w:val="00EE3C00"/>
    <w:rsid w:val="00EE79CF"/>
    <w:rsid w:val="00EF2152"/>
    <w:rsid w:val="00EF645A"/>
    <w:rsid w:val="00F0029F"/>
    <w:rsid w:val="00F011E7"/>
    <w:rsid w:val="00F0747B"/>
    <w:rsid w:val="00F07832"/>
    <w:rsid w:val="00F17B25"/>
    <w:rsid w:val="00F30D58"/>
    <w:rsid w:val="00F46712"/>
    <w:rsid w:val="00F477C5"/>
    <w:rsid w:val="00F57145"/>
    <w:rsid w:val="00F661B7"/>
    <w:rsid w:val="00F759CE"/>
    <w:rsid w:val="00F9151B"/>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CFB8-16E3-405A-A658-7BEB0790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29</Pages>
  <Words>12570</Words>
  <Characters>67883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19</cp:revision>
  <cp:lastPrinted>2022-05-11T19:32:00Z</cp:lastPrinted>
  <dcterms:created xsi:type="dcterms:W3CDTF">2022-03-24T17:53:00Z</dcterms:created>
  <dcterms:modified xsi:type="dcterms:W3CDTF">2022-05-11T19:32:00Z</dcterms:modified>
</cp:coreProperties>
</file>