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4A" w:rsidRPr="0045005B" w:rsidRDefault="00A0304A" w:rsidP="00A0304A">
      <w:pPr>
        <w:keepNext/>
        <w:jc w:val="center"/>
        <w:rPr>
          <w:b/>
          <w:bCs/>
          <w:caps/>
          <w:szCs w:val="24"/>
          <w:u w:val="single"/>
          <w:lang w:bidi="pt-BR"/>
        </w:rPr>
      </w:pPr>
      <w:bookmarkStart w:id="0" w:name="_GoBack"/>
      <w:bookmarkEnd w:id="0"/>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8625D2">
        <w:rPr>
          <w:b/>
          <w:bCs/>
          <w:szCs w:val="24"/>
          <w:lang w:bidi="pt-BR"/>
        </w:rPr>
        <w:t>002/2021</w:t>
      </w:r>
      <w:r w:rsidRPr="00316FB0">
        <w:rPr>
          <w:b/>
          <w:bCs/>
          <w:szCs w:val="24"/>
          <w:lang w:bidi="pt-BR"/>
        </w:rPr>
        <w:t xml:space="preserve"> </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r w:rsidRPr="00B45737">
        <w:rPr>
          <w:bCs/>
          <w:szCs w:val="24"/>
        </w:rPr>
        <w:t>7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8625D2">
        <w:rPr>
          <w:b/>
          <w:szCs w:val="24"/>
          <w:lang w:bidi="pt-BR"/>
        </w:rPr>
        <w:t>002/2021</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7A3049">
        <w:rPr>
          <w:b/>
          <w:szCs w:val="24"/>
          <w:lang w:bidi="pt-BR"/>
        </w:rPr>
        <w:t>GASOLINA COMUM</w:t>
      </w:r>
      <w:r w:rsidR="00FA042F">
        <w:rPr>
          <w:b/>
          <w:szCs w:val="24"/>
          <w:lang w:bidi="pt-BR"/>
        </w:rPr>
        <w:t>, ÓLEO DIESEL S500, ARLA</w:t>
      </w:r>
      <w:r w:rsidR="007A3049">
        <w:rPr>
          <w:b/>
          <w:szCs w:val="24"/>
          <w:lang w:bidi="pt-BR"/>
        </w:rPr>
        <w:t xml:space="preserve"> E ÓLEO DIESEL S10</w:t>
      </w:r>
      <w:r w:rsidR="001677D9">
        <w:rPr>
          <w:b/>
          <w:szCs w:val="24"/>
          <w:lang w:bidi="pt-BR"/>
        </w:rPr>
        <w:t xml:space="preserve"> </w:t>
      </w:r>
      <w:r w:rsidR="001677D9">
        <w:rPr>
          <w:szCs w:val="24"/>
          <w:lang w:bidi="pt-BR"/>
        </w:rPr>
        <w:t xml:space="preserve">para </w:t>
      </w:r>
      <w:r w:rsidR="00963430">
        <w:rPr>
          <w:szCs w:val="24"/>
          <w:lang w:bidi="pt-BR"/>
        </w:rPr>
        <w:t>a Administração Municipal</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6B629E">
        <w:rPr>
          <w:b/>
          <w:szCs w:val="24"/>
          <w:lang w:bidi="pt-BR"/>
        </w:rPr>
        <w:t>GASOLINA COMUM, ÓLEO DIESEL S500, ARLA E ÓLEO DIESEL S10</w:t>
      </w:r>
      <w:r w:rsidR="007A3049">
        <w:rPr>
          <w:b/>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r w:rsidRPr="00316FB0">
        <w:rPr>
          <w:bCs/>
          <w:szCs w:val="24"/>
        </w:rPr>
        <w:t>7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8625D2">
        <w:rPr>
          <w:b/>
          <w:bCs/>
          <w:szCs w:val="24"/>
          <w:lang w:bidi="pt-BR"/>
        </w:rPr>
        <w:t xml:space="preserve">29/01/2021 </w:t>
      </w:r>
      <w:r w:rsidRPr="00316FB0">
        <w:rPr>
          <w:szCs w:val="24"/>
          <w:lang w:bidi="pt-BR"/>
        </w:rPr>
        <w:t xml:space="preserve">às </w:t>
      </w:r>
      <w:r w:rsidR="0005304C">
        <w:rPr>
          <w:szCs w:val="24"/>
          <w:lang w:bidi="pt-BR"/>
        </w:rPr>
        <w:t>1</w:t>
      </w:r>
      <w:r w:rsidR="006B629E">
        <w:rPr>
          <w:szCs w:val="24"/>
          <w:lang w:bidi="pt-BR"/>
        </w:rPr>
        <w:t>0</w:t>
      </w:r>
      <w:r w:rsidRPr="00316FB0">
        <w:rPr>
          <w:szCs w:val="24"/>
          <w:lang w:bidi="pt-BR"/>
        </w:rPr>
        <w:t>:</w:t>
      </w:r>
      <w:r w:rsidR="0005304C">
        <w:rPr>
          <w:szCs w:val="24"/>
          <w:lang w:bidi="pt-BR"/>
        </w:rPr>
        <w:t>0</w:t>
      </w:r>
      <w:r w:rsidRPr="00316FB0">
        <w:rPr>
          <w:szCs w:val="24"/>
          <w:lang w:bidi="pt-BR"/>
        </w:rPr>
        <w:t>0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r w:rsidR="0095422A">
        <w:rPr>
          <w:szCs w:val="24"/>
          <w:lang w:bidi="pt-BR"/>
        </w:rPr>
        <w:t>1</w:t>
      </w:r>
      <w:r w:rsidR="006B629E">
        <w:rPr>
          <w:szCs w:val="24"/>
          <w:lang w:bidi="pt-BR"/>
        </w:rPr>
        <w:t>0</w:t>
      </w:r>
      <w:r w:rsidR="0095422A">
        <w:rPr>
          <w:szCs w:val="24"/>
          <w:lang w:bidi="pt-BR"/>
        </w:rPr>
        <w:t>:00</w:t>
      </w:r>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r w:rsidR="0095422A">
        <w:rPr>
          <w:szCs w:val="24"/>
          <w:lang w:bidi="pt-BR"/>
        </w:rPr>
        <w:t>1</w:t>
      </w:r>
      <w:r w:rsidR="006B629E">
        <w:rPr>
          <w:szCs w:val="24"/>
          <w:lang w:bidi="pt-BR"/>
        </w:rPr>
        <w:t>0</w:t>
      </w:r>
      <w:r w:rsidR="0095422A">
        <w:rPr>
          <w:szCs w:val="24"/>
          <w:lang w:bidi="pt-BR"/>
        </w:rPr>
        <w:t>:00</w:t>
      </w:r>
      <w:r w:rsidR="0095422A" w:rsidRPr="00316FB0">
        <w:rPr>
          <w:szCs w:val="24"/>
          <w:lang w:bidi="pt-BR"/>
        </w:rPr>
        <w:t xml:space="preserve"> </w:t>
      </w:r>
      <w:r w:rsidRPr="00316FB0">
        <w:rPr>
          <w:szCs w:val="24"/>
          <w:lang w:bidi="pt-BR"/>
        </w:rPr>
        <w:t xml:space="preserve">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r w:rsidR="0095422A">
        <w:rPr>
          <w:szCs w:val="24"/>
          <w:lang w:bidi="pt-BR"/>
        </w:rPr>
        <w:t>1</w:t>
      </w:r>
      <w:r w:rsidR="006B629E">
        <w:rPr>
          <w:szCs w:val="24"/>
          <w:lang w:bidi="pt-BR"/>
        </w:rPr>
        <w:t>0</w:t>
      </w:r>
      <w:r w:rsidR="0095422A">
        <w:rPr>
          <w:szCs w:val="24"/>
          <w:lang w:bidi="pt-BR"/>
        </w:rPr>
        <w:t>:00</w:t>
      </w:r>
      <w:r w:rsidR="0095422A" w:rsidRPr="00316FB0">
        <w:rPr>
          <w:szCs w:val="24"/>
          <w:lang w:bidi="pt-BR"/>
        </w:rPr>
        <w:t xml:space="preserve"> </w:t>
      </w:r>
      <w:r w:rsidRPr="00316FB0">
        <w:rPr>
          <w:bCs/>
          <w:szCs w:val="24"/>
          <w:lang w:bidi="pt-BR"/>
        </w:rPr>
        <w:t>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031278">
        <w:rPr>
          <w:b/>
          <w:szCs w:val="24"/>
          <w:lang w:bidi="pt-BR"/>
        </w:rPr>
        <w:t>15</w:t>
      </w:r>
      <w:r w:rsidR="0095422A">
        <w:rPr>
          <w:b/>
          <w:szCs w:val="24"/>
          <w:lang w:bidi="pt-BR"/>
        </w:rPr>
        <w:t xml:space="preserve"> </w:t>
      </w:r>
      <w:r w:rsidR="009A1358">
        <w:rPr>
          <w:b/>
          <w:szCs w:val="24"/>
          <w:lang w:bidi="pt-BR"/>
        </w:rPr>
        <w:t xml:space="preserve">de </w:t>
      </w:r>
      <w:r w:rsidR="00031278">
        <w:rPr>
          <w:b/>
          <w:szCs w:val="24"/>
          <w:lang w:bidi="pt-BR"/>
        </w:rPr>
        <w:t>JANEIRO</w:t>
      </w:r>
      <w:r w:rsidRPr="00FC4932">
        <w:rPr>
          <w:b/>
          <w:szCs w:val="24"/>
          <w:lang w:bidi="pt-BR"/>
        </w:rPr>
        <w:t xml:space="preserve"> </w:t>
      </w:r>
      <w:r w:rsidR="009D5462">
        <w:rPr>
          <w:b/>
          <w:szCs w:val="24"/>
          <w:lang w:bidi="pt-BR"/>
        </w:rPr>
        <w:t>20</w:t>
      </w:r>
      <w:r w:rsidR="00031278">
        <w:rPr>
          <w:b/>
          <w:szCs w:val="24"/>
          <w:lang w:bidi="pt-BR"/>
        </w:rPr>
        <w:t>2</w:t>
      </w:r>
      <w:r w:rsidR="008625D2">
        <w:rPr>
          <w:b/>
          <w:szCs w:val="24"/>
          <w:lang w:bidi="pt-BR"/>
        </w:rPr>
        <w:t>1</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D01283" w:rsidRDefault="00D01283" w:rsidP="00A0304A">
      <w:pPr>
        <w:jc w:val="center"/>
        <w:rPr>
          <w:szCs w:val="24"/>
          <w:lang w:bidi="pt-BR"/>
        </w:rPr>
      </w:pPr>
    </w:p>
    <w:p w:rsidR="00D01283" w:rsidRDefault="00D01283"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D01283" w:rsidRDefault="00D01283" w:rsidP="00A0304A">
      <w:pPr>
        <w:jc w:val="center"/>
        <w:rPr>
          <w:szCs w:val="24"/>
          <w:lang w:bidi="pt-BR"/>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DB1E28">
        <w:rPr>
          <w:rFonts w:ascii="Times New Roman" w:hAnsi="Times New Roman" w:cs="Times New Roman"/>
          <w:b/>
          <w:color w:val="auto"/>
          <w:u w:val="single"/>
        </w:rPr>
        <w:t>002/2021</w:t>
      </w:r>
    </w:p>
    <w:p w:rsidR="00BB12E8" w:rsidRPr="00F60426" w:rsidRDefault="00BB12E8"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7A3049">
        <w:rPr>
          <w:b/>
          <w:lang w:bidi="pt-BR"/>
        </w:rPr>
        <w:t>GASOLINA COMUM</w:t>
      </w:r>
      <w:r w:rsidR="0095422A">
        <w:rPr>
          <w:b/>
          <w:lang w:bidi="pt-BR"/>
        </w:rPr>
        <w:t>, ÓLEO DIESEL S500, ARLA</w:t>
      </w:r>
      <w:r w:rsidR="007A3049">
        <w:rPr>
          <w:b/>
          <w:lang w:bidi="pt-BR"/>
        </w:rPr>
        <w:t xml:space="preserve"> E ÓLEO DIESEL S10</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031278" w:rsidRPr="00031278">
        <w:rPr>
          <w:b/>
          <w:lang w:bidi="pt-BR"/>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 xml:space="preserve">as </w:t>
      </w:r>
      <w:r w:rsidR="007A3049">
        <w:rPr>
          <w:rFonts w:ascii="Times New Roman" w:hAnsi="Times New Roman" w:cs="Times New Roman"/>
          <w:color w:val="auto"/>
        </w:rPr>
        <w:t>Secretarias</w:t>
      </w:r>
      <w:r w:rsidR="009215FC" w:rsidRPr="00D6390D">
        <w:rPr>
          <w:rFonts w:ascii="Times New Roman" w:hAnsi="Times New Roman" w:cs="Times New Roman"/>
          <w:color w:val="auto"/>
        </w:rPr>
        <w:t xml:space="preserve">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DB1E28">
        <w:rPr>
          <w:rFonts w:ascii="Times New Roman" w:hAnsi="Times New Roman" w:cs="Times New Roman"/>
          <w:b/>
          <w:color w:val="auto"/>
        </w:rPr>
        <w:t>2</w:t>
      </w:r>
      <w:r w:rsidR="008625D2">
        <w:rPr>
          <w:rFonts w:ascii="Times New Roman" w:hAnsi="Times New Roman" w:cs="Times New Roman"/>
          <w:b/>
          <w:color w:val="auto"/>
        </w:rPr>
        <w:t>9</w:t>
      </w:r>
      <w:r w:rsidR="009A1358">
        <w:rPr>
          <w:rFonts w:ascii="Times New Roman" w:hAnsi="Times New Roman" w:cs="Times New Roman"/>
          <w:b/>
          <w:color w:val="auto"/>
        </w:rPr>
        <w:t xml:space="preserve"> de </w:t>
      </w:r>
      <w:r w:rsidR="008625D2">
        <w:rPr>
          <w:rFonts w:ascii="Times New Roman" w:hAnsi="Times New Roman" w:cs="Times New Roman"/>
          <w:b/>
          <w:color w:val="auto"/>
        </w:rPr>
        <w:t>JANEIRO</w:t>
      </w:r>
      <w:r w:rsidR="00CE45EB">
        <w:rPr>
          <w:rFonts w:ascii="Times New Roman" w:hAnsi="Times New Roman" w:cs="Times New Roman"/>
          <w:b/>
          <w:color w:val="auto"/>
        </w:rPr>
        <w:t xml:space="preserve"> DE</w:t>
      </w:r>
      <w:r w:rsidR="0095422A">
        <w:rPr>
          <w:rFonts w:ascii="Times New Roman" w:hAnsi="Times New Roman" w:cs="Times New Roman"/>
          <w:b/>
          <w:color w:val="auto"/>
        </w:rPr>
        <w:t xml:space="preserve"> </w:t>
      </w:r>
      <w:r w:rsidR="008625D2">
        <w:rPr>
          <w:rFonts w:ascii="Times New Roman" w:hAnsi="Times New Roman" w:cs="Times New Roman"/>
          <w:b/>
          <w:color w:val="auto"/>
        </w:rPr>
        <w:t>2021</w:t>
      </w:r>
      <w:r w:rsidRPr="00FC4932">
        <w:rPr>
          <w:rFonts w:ascii="Times New Roman" w:hAnsi="Times New Roman" w:cs="Times New Roman"/>
          <w:color w:val="auto"/>
        </w:rPr>
        <w:t xml:space="preserve">, às </w:t>
      </w:r>
      <w:r w:rsidR="0095422A" w:rsidRPr="0095422A">
        <w:rPr>
          <w:rFonts w:ascii="Times New Roman" w:hAnsi="Times New Roman" w:cs="Times New Roman"/>
          <w:color w:val="auto"/>
        </w:rPr>
        <w:t>1</w:t>
      </w:r>
      <w:r w:rsidR="006B629E">
        <w:rPr>
          <w:rFonts w:ascii="Times New Roman" w:hAnsi="Times New Roman" w:cs="Times New Roman"/>
          <w:color w:val="auto"/>
        </w:rPr>
        <w:t>0</w:t>
      </w:r>
      <w:r w:rsidR="0095422A" w:rsidRPr="0095422A">
        <w:rPr>
          <w:rFonts w:ascii="Times New Roman" w:hAnsi="Times New Roman" w:cs="Times New Roman"/>
          <w:color w:val="auto"/>
        </w:rPr>
        <w:t xml:space="preserve">:00 </w:t>
      </w:r>
      <w:r w:rsidRPr="0095422A">
        <w:rPr>
          <w:rFonts w:ascii="Times New Roman" w:hAnsi="Times New Roman" w:cs="Times New Roman"/>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w:t>
      </w:r>
      <w:r w:rsidR="0095422A" w:rsidRPr="0095422A">
        <w:rPr>
          <w:rFonts w:ascii="Times New Roman" w:hAnsi="Times New Roman" w:cs="Times New Roman"/>
          <w:b/>
          <w:color w:val="auto"/>
        </w:rPr>
        <w:t>GASOLINA COMUM, ÓLEO DIESEL S500, ARLA E ÓLEO DIESEL S10</w:t>
      </w:r>
      <w:r w:rsidR="000F7444" w:rsidRPr="00D6390D">
        <w:rPr>
          <w:rFonts w:ascii="Times New Roman" w:hAnsi="Times New Roman" w:cs="Times New Roman"/>
          <w:color w:val="auto"/>
        </w:rPr>
        <w:t>,</w:t>
      </w:r>
      <w:r w:rsidR="007D0402" w:rsidRPr="007D0402">
        <w:rPr>
          <w:b/>
          <w:lang w:bidi="pt-BR"/>
        </w:rPr>
        <w:t xml:space="preserve"> </w:t>
      </w:r>
      <w:r w:rsidR="000F7444" w:rsidRPr="00D6390D">
        <w:rPr>
          <w:rFonts w:ascii="Times New Roman" w:hAnsi="Times New Roman" w:cs="Times New Roman"/>
          <w:color w:val="auto"/>
        </w:rPr>
        <w:t>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w:t>
      </w:r>
      <w:r w:rsidR="00E31313">
        <w:rPr>
          <w:rFonts w:ascii="Times New Roman" w:hAnsi="Times New Roman" w:cs="Times New Roman"/>
          <w:color w:val="auto"/>
        </w:rPr>
        <w:t>do Município de Pinheiro Machado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w:t>
      </w:r>
      <w:r w:rsidR="00301E7D">
        <w:rPr>
          <w:rFonts w:ascii="Times New Roman" w:hAnsi="Times New Roman" w:cs="Times New Roman"/>
          <w:color w:val="auto"/>
        </w:rPr>
        <w:t>alisados na entrega dos mesmos.</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w:t>
      </w:r>
      <w:r w:rsidR="00E31313">
        <w:rPr>
          <w:rFonts w:ascii="Times New Roman" w:hAnsi="Times New Roman" w:cs="Times New Roman"/>
          <w:b/>
          <w:color w:val="auto"/>
        </w:rPr>
        <w:t>3</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w:t>
      </w:r>
      <w:r w:rsidR="00963430">
        <w:rPr>
          <w:rFonts w:ascii="Times New Roman" w:hAnsi="Times New Roman" w:cs="Times New Roman"/>
          <w:b/>
          <w:color w:val="auto"/>
        </w:rPr>
        <w:t>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95422A"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8625D2">
              <w:rPr>
                <w:rFonts w:cs="Times New Roman"/>
                <w:szCs w:val="24"/>
              </w:rPr>
              <w:t>002/2021</w:t>
            </w:r>
            <w:r w:rsidRPr="00D6390D">
              <w:rPr>
                <w:rFonts w:cs="Times New Roman"/>
                <w:szCs w:val="24"/>
              </w:rPr>
              <w:t xml:space="preserve"> – </w:t>
            </w:r>
            <w:r w:rsidR="0069071F">
              <w:rPr>
                <w:rFonts w:cs="Times New Roman"/>
                <w:szCs w:val="24"/>
              </w:rPr>
              <w:t>COMBUSTÍVEIS</w:t>
            </w:r>
            <w:r w:rsidR="001677D9"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 se houver).</w:t>
            </w:r>
          </w:p>
          <w:p w:rsidR="000A5F44" w:rsidRPr="00D6390D" w:rsidRDefault="000A5F44" w:rsidP="00291E9C">
            <w:pPr>
              <w:autoSpaceDE w:val="0"/>
              <w:autoSpaceDN w:val="0"/>
              <w:adjustRightInd w:val="0"/>
              <w:rPr>
                <w:rFonts w:cs="Times New Roman"/>
                <w:b/>
                <w:bCs/>
                <w:szCs w:val="24"/>
              </w:rPr>
            </w:pPr>
          </w:p>
        </w:tc>
      </w:tr>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95422A"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8625D2">
              <w:rPr>
                <w:rFonts w:cs="Times New Roman"/>
                <w:szCs w:val="24"/>
              </w:rPr>
              <w:t>002/2021</w:t>
            </w:r>
            <w:r w:rsidR="007A3049" w:rsidRPr="00D6390D">
              <w:rPr>
                <w:rFonts w:cs="Times New Roman"/>
                <w:szCs w:val="24"/>
              </w:rPr>
              <w:t xml:space="preserve"> – </w:t>
            </w:r>
            <w:r w:rsidR="0069071F">
              <w:rPr>
                <w:rFonts w:cs="Times New Roman"/>
                <w:szCs w:val="24"/>
              </w:rPr>
              <w:t>COMBUSTÍVEIS</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 se houver).</w:t>
            </w:r>
          </w:p>
          <w:p w:rsidR="000A5F44" w:rsidRPr="00D6390D" w:rsidRDefault="000A5F44" w:rsidP="00291E9C">
            <w:pPr>
              <w:autoSpaceDE w:val="0"/>
              <w:autoSpaceDN w:val="0"/>
              <w:adjustRightInd w:val="0"/>
              <w:rPr>
                <w:rFonts w:cs="Times New Roman"/>
                <w:b/>
                <w:bCs/>
                <w:szCs w:val="24"/>
              </w:rPr>
            </w:pPr>
          </w:p>
        </w:tc>
      </w:tr>
    </w:tbl>
    <w:p w:rsidR="00BB12E8" w:rsidRDefault="003717A0" w:rsidP="003717A0">
      <w:pPr>
        <w:pStyle w:val="Default"/>
        <w:ind w:left="851" w:right="848"/>
        <w:jc w:val="both"/>
        <w:rPr>
          <w:rFonts w:ascii="Times New Roman" w:hAnsi="Times New Roman" w:cs="Times New Roman"/>
          <w:b/>
          <w:bCs/>
          <w:color w:val="auto"/>
        </w:rPr>
      </w:pPr>
      <w:r>
        <w:rPr>
          <w:rFonts w:ascii="Times New Roman" w:hAnsi="Times New Roman" w:cs="Times New Roman"/>
          <w:b/>
          <w:bCs/>
          <w:color w:val="auto"/>
        </w:rPr>
        <w:t xml:space="preserve">Obs :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ainda que enviados através do correio ou por outro serviço de entrega ou de 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4.1.I);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4.1.I),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2.1.1.I;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2.1.1.I,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via,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w:t>
      </w:r>
      <w:r w:rsidR="00E74C68">
        <w:rPr>
          <w:rFonts w:ascii="Times New Roman" w:hAnsi="Times New Roman" w:cs="Times New Roman"/>
          <w:b/>
          <w:color w:val="auto"/>
        </w:rPr>
        <w:t>1</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DD2202">
        <w:rPr>
          <w:rFonts w:ascii="Times New Roman" w:hAnsi="Times New Roman" w:cs="Times New Roman"/>
          <w:color w:val="auto"/>
        </w:rPr>
        <w:t>Administração Municipal</w:t>
      </w:r>
      <w:r w:rsidR="008444EB" w:rsidRPr="00D6390D">
        <w:rPr>
          <w:rFonts w:ascii="Times New Roman" w:hAnsi="Times New Roman" w:cs="Times New Roman"/>
          <w:color w:val="auto"/>
        </w:rPr>
        <w:t>, não se admitindo atrasos injustificados, sob pena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00E74C68">
        <w:rPr>
          <w:rFonts w:ascii="Times New Roman" w:hAnsi="Times New Roman" w:cs="Times New Roman"/>
          <w:b/>
          <w:color w:val="auto"/>
        </w:rPr>
        <w:t>2</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r w:rsidR="00E31313">
        <w:rPr>
          <w:rFonts w:ascii="Times New Roman" w:hAnsi="Times New Roman" w:cs="Times New Roman"/>
          <w:color w:val="auto"/>
        </w:rPr>
        <w:t>.</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atualizados,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 xml:space="preserve">implica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E31313">
      <w:pPr>
        <w:pStyle w:val="Default"/>
        <w:jc w:val="both"/>
        <w:rPr>
          <w:rFonts w:ascii="Times New Roman" w:hAnsi="Times New Roman" w:cs="Times New Roman"/>
          <w:b/>
          <w:bCs/>
          <w:color w:val="auto"/>
        </w:rPr>
      </w:pPr>
      <w:r w:rsidRPr="00D6390D">
        <w:rPr>
          <w:rFonts w:ascii="Times New Roman" w:hAnsi="Times New Roman" w:cs="Times New Roman"/>
          <w:b/>
          <w:bCs/>
        </w:rPr>
        <w:lastRenderedPageBreak/>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via, original ou cópia autenticada por Tabelião, ou, previamente, por servidor do setor de licitações, conforme subitem 12.9,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se tratando de Sociedades Anônimas (S.A.); ou</w:t>
      </w:r>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 xml:space="preserve"> 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4.1.I,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4.1.I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4.1.I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não-cadastradas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4.1.</w:t>
      </w:r>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Federais expedita pela Secretaria da Receita Federal e Certidão Negativa de Débitos quanto à Dívida Ativa da União),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r w:rsidR="003919F7">
        <w:rPr>
          <w:rFonts w:ascii="Times New Roman" w:hAnsi="Times New Roman" w:cs="Times New Roman"/>
          <w:color w:val="auto"/>
        </w:rPr>
        <w:t>5</w:t>
      </w:r>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a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não-regularização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Apresentação de certificado de autorização, emitido pela agência Nacional de Petróleo – ANP, devidamente regularizado.</w:t>
      </w:r>
    </w:p>
    <w:p w:rsidR="00E31313" w:rsidRPr="00BA361F" w:rsidRDefault="00E31313" w:rsidP="00E31313">
      <w:pPr>
        <w:autoSpaceDE w:val="0"/>
        <w:autoSpaceDN w:val="0"/>
        <w:adjustRightInd w:val="0"/>
        <w:jc w:val="both"/>
        <w:rPr>
          <w:b/>
          <w:color w:val="000000" w:themeColor="text1"/>
          <w:sz w:val="23"/>
          <w:szCs w:val="23"/>
        </w:rPr>
      </w:pPr>
      <w:r>
        <w:rPr>
          <w:color w:val="000000" w:themeColor="text1"/>
          <w:sz w:val="23"/>
          <w:szCs w:val="23"/>
        </w:rPr>
        <w:t xml:space="preserve">II - </w:t>
      </w:r>
      <w:r w:rsidRPr="00B706A2">
        <w:rPr>
          <w:rFonts w:ascii="Arial" w:hAnsi="Arial" w:cs="Arial"/>
          <w:b/>
          <w:bCs/>
          <w:szCs w:val="24"/>
        </w:rPr>
        <w:t xml:space="preserve"> </w:t>
      </w:r>
      <w:r w:rsidRPr="00B706A2">
        <w:rPr>
          <w:b/>
          <w:bCs/>
          <w:sz w:val="23"/>
          <w:szCs w:val="23"/>
        </w:rPr>
        <w:t xml:space="preserve">Laudo de qualidade do combustível </w:t>
      </w:r>
      <w:r w:rsidRPr="00B706A2">
        <w:rPr>
          <w:sz w:val="23"/>
          <w:szCs w:val="23"/>
        </w:rPr>
        <w:t>a ser fornecido dentro das normas da</w:t>
      </w:r>
      <w:r>
        <w:rPr>
          <w:sz w:val="23"/>
          <w:szCs w:val="23"/>
        </w:rPr>
        <w:t xml:space="preserve"> </w:t>
      </w:r>
      <w:r w:rsidRPr="00B706A2">
        <w:rPr>
          <w:sz w:val="23"/>
          <w:szCs w:val="23"/>
        </w:rPr>
        <w:t>ABNT</w:t>
      </w:r>
      <w:r>
        <w:rPr>
          <w:sz w:val="23"/>
          <w:szCs w:val="23"/>
        </w:rPr>
        <w:t xml:space="preserve"> </w:t>
      </w:r>
      <w:r w:rsidRPr="00BA361F">
        <w:rPr>
          <w:b/>
          <w:sz w:val="23"/>
          <w:szCs w:val="23"/>
        </w:rPr>
        <w:t>(</w:t>
      </w:r>
      <w:r w:rsidRPr="00BA361F">
        <w:rPr>
          <w:color w:val="000000" w:themeColor="text1"/>
          <w:sz w:val="23"/>
          <w:szCs w:val="23"/>
        </w:rPr>
        <w:t>Itens 01</w:t>
      </w:r>
      <w:r w:rsidR="00BA361F" w:rsidRPr="00BA361F">
        <w:rPr>
          <w:color w:val="000000" w:themeColor="text1"/>
          <w:sz w:val="23"/>
          <w:szCs w:val="23"/>
        </w:rPr>
        <w:t>,</w:t>
      </w:r>
      <w:r w:rsidRPr="00BA361F">
        <w:rPr>
          <w:color w:val="000000" w:themeColor="text1"/>
          <w:sz w:val="23"/>
          <w:szCs w:val="23"/>
        </w:rPr>
        <w:t xml:space="preserve"> 02</w:t>
      </w:r>
      <w:r w:rsidR="00BA361F" w:rsidRPr="00BA361F">
        <w:rPr>
          <w:color w:val="000000" w:themeColor="text1"/>
          <w:sz w:val="23"/>
          <w:szCs w:val="23"/>
        </w:rPr>
        <w:t xml:space="preserve"> e 04</w:t>
      </w:r>
      <w:r w:rsidRPr="00BA361F">
        <w:rPr>
          <w:color w:val="000000" w:themeColor="text1"/>
          <w:sz w:val="23"/>
          <w:szCs w:val="23"/>
        </w:rPr>
        <w:t>).</w:t>
      </w:r>
    </w:p>
    <w:p w:rsidR="00E31313" w:rsidRDefault="00E31313" w:rsidP="00FF15CA">
      <w:pPr>
        <w:jc w:val="both"/>
        <w:rPr>
          <w:rFonts w:eastAsia="Times New Roman" w:cs="Times New Roman"/>
          <w:szCs w:val="24"/>
          <w:lang w:eastAsia="pt-BR"/>
        </w:rPr>
      </w:pP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5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Sr. Prefeito Municipal a(s) proponente(s) que apresentar(em) a(s) proposta(s) de acordo com a(s) especificação(ões)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3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Homologação do certame</w:t>
      </w:r>
      <w:r w:rsidRPr="00D6390D">
        <w:rPr>
          <w:rFonts w:ascii="Times New Roman" w:hAnsi="Times New Roman" w:cs="Times New Roman"/>
          <w:color w:val="auto"/>
        </w:rPr>
        <w:t>s,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3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w:t>
      </w:r>
      <w:r w:rsidRPr="00D6390D">
        <w:rPr>
          <w:rFonts w:ascii="Times New Roman" w:hAnsi="Times New Roman" w:cs="Times New Roman"/>
          <w:color w:val="auto"/>
        </w:rPr>
        <w:lastRenderedPageBreak/>
        <w:t xml:space="preserve">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w:t>
      </w:r>
      <w:r w:rsidR="00E74C68">
        <w:rPr>
          <w:rFonts w:ascii="Times New Roman" w:hAnsi="Times New Roman" w:cs="Times New Roman"/>
          <w:color w:val="auto"/>
        </w:rPr>
        <w:t>,</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w:t>
      </w:r>
      <w:r w:rsidR="00E31313">
        <w:rPr>
          <w:rFonts w:ascii="Times New Roman" w:hAnsi="Times New Roman" w:cs="Times New Roman"/>
          <w:color w:val="auto"/>
        </w:rPr>
        <w:t>os produtos foram</w:t>
      </w:r>
      <w:r w:rsidRPr="00D6390D">
        <w:rPr>
          <w:rFonts w:ascii="Times New Roman" w:hAnsi="Times New Roman" w:cs="Times New Roman"/>
          <w:color w:val="auto"/>
        </w:rPr>
        <w:t xml:space="preserve"> entregue</w:t>
      </w:r>
      <w:r w:rsidR="00E31313">
        <w:rPr>
          <w:rFonts w:ascii="Times New Roman" w:hAnsi="Times New Roman" w:cs="Times New Roman"/>
          <w:color w:val="auto"/>
        </w:rPr>
        <w:t>s</w:t>
      </w:r>
      <w:r w:rsidRPr="00D6390D">
        <w:rPr>
          <w:rFonts w:ascii="Times New Roman" w:hAnsi="Times New Roman" w:cs="Times New Roman"/>
          <w:color w:val="auto"/>
        </w:rPr>
        <w:t xml:space="preserv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8625D2">
        <w:rPr>
          <w:rFonts w:ascii="Times New Roman" w:hAnsi="Times New Roman" w:cs="Times New Roman"/>
          <w:color w:val="auto"/>
        </w:rPr>
        <w:t>002/2021</w:t>
      </w:r>
      <w:r w:rsidRPr="00D6390D">
        <w:rPr>
          <w:rFonts w:ascii="Times New Roman" w:hAnsi="Times New Roman" w:cs="Times New Roman"/>
          <w:color w:val="auto"/>
        </w:rPr>
        <w:t xml:space="preserve">), a especificação do(s) item(s), n° do(s) item(s), nº do(s) empenho(s) correspondente(s), sob pena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w:t>
      </w:r>
    </w:p>
    <w:p w:rsidR="00963430" w:rsidRDefault="00963430" w:rsidP="008444EB">
      <w:pPr>
        <w:pStyle w:val="Default"/>
        <w:rPr>
          <w:rFonts w:ascii="Times New Roman" w:hAnsi="Times New Roman" w:cs="Times New Roman"/>
          <w:b/>
          <w:bCs/>
          <w:color w:val="auto"/>
        </w:rPr>
      </w:pPr>
    </w:p>
    <w:p w:rsidR="00963430" w:rsidRPr="00963430" w:rsidRDefault="00963430" w:rsidP="00963430">
      <w:pPr>
        <w:jc w:val="both"/>
        <w:rPr>
          <w:rFonts w:eastAsia="Times New Roman" w:cs="Times New Roman"/>
          <w:szCs w:val="24"/>
          <w:lang w:eastAsia="pt-BR"/>
        </w:rPr>
      </w:pPr>
      <w:r>
        <w:rPr>
          <w:rFonts w:eastAsia="Times New Roman" w:cs="Times New Roman"/>
          <w:szCs w:val="24"/>
          <w:lang w:eastAsia="pt-BR"/>
        </w:rPr>
        <w:t xml:space="preserve">9.1 </w:t>
      </w:r>
      <w:r w:rsidRPr="00963430">
        <w:rPr>
          <w:rFonts w:eastAsia="Times New Roman" w:cs="Times New Roman"/>
          <w:szCs w:val="24"/>
          <w:lang w:eastAsia="pt-BR"/>
        </w:rPr>
        <w:t>A gasolina comum</w:t>
      </w:r>
      <w:r>
        <w:rPr>
          <w:rFonts w:eastAsia="Times New Roman" w:cs="Times New Roman"/>
          <w:szCs w:val="24"/>
          <w:lang w:eastAsia="pt-BR"/>
        </w:rPr>
        <w:t xml:space="preserve"> e o</w:t>
      </w:r>
      <w:r w:rsidRPr="00963430">
        <w:rPr>
          <w:rFonts w:eastAsia="Times New Roman" w:cs="Times New Roman"/>
          <w:szCs w:val="24"/>
          <w:lang w:eastAsia="pt-BR"/>
        </w:rPr>
        <w:t xml:space="preserve"> óleo diesel S10,</w:t>
      </w:r>
      <w:r>
        <w:rPr>
          <w:rFonts w:eastAsia="Times New Roman" w:cs="Times New Roman"/>
          <w:szCs w:val="24"/>
          <w:lang w:eastAsia="pt-BR"/>
        </w:rPr>
        <w:t xml:space="preserve"> </w:t>
      </w:r>
      <w:r w:rsidRPr="00963430">
        <w:rPr>
          <w:rFonts w:eastAsia="Times New Roman" w:cs="Times New Roman"/>
          <w:szCs w:val="24"/>
          <w:lang w:eastAsia="pt-BR"/>
        </w:rPr>
        <w:t>deverão ser fornecidos e disponibilizados através de abastecimento individual por veículo, direto da</w:t>
      </w:r>
      <w:r>
        <w:rPr>
          <w:rFonts w:eastAsia="Times New Roman" w:cs="Times New Roman"/>
          <w:szCs w:val="24"/>
          <w:lang w:eastAsia="pt-BR"/>
        </w:rPr>
        <w:t xml:space="preserve"> </w:t>
      </w:r>
      <w:r w:rsidRPr="00963430">
        <w:rPr>
          <w:rFonts w:eastAsia="Times New Roman" w:cs="Times New Roman"/>
          <w:szCs w:val="24"/>
          <w:lang w:eastAsia="pt-BR"/>
        </w:rPr>
        <w:t>bomba, em ponto(s) devido(s) e legalmente licenciado(s) de venda a varejo, à disposição da</w:t>
      </w:r>
      <w:r>
        <w:rPr>
          <w:rFonts w:eastAsia="Times New Roman" w:cs="Times New Roman"/>
          <w:szCs w:val="24"/>
          <w:lang w:eastAsia="pt-BR"/>
        </w:rPr>
        <w:t xml:space="preserve"> </w:t>
      </w:r>
      <w:r w:rsidRPr="00963430">
        <w:rPr>
          <w:rFonts w:eastAsia="Times New Roman" w:cs="Times New Roman"/>
          <w:szCs w:val="24"/>
          <w:lang w:eastAsia="pt-BR"/>
        </w:rPr>
        <w:t>administração, sem quaisquer custos adicionais, num</w:t>
      </w:r>
      <w:r>
        <w:rPr>
          <w:rFonts w:eastAsia="Times New Roman" w:cs="Times New Roman"/>
          <w:szCs w:val="24"/>
          <w:lang w:eastAsia="pt-BR"/>
        </w:rPr>
        <w:t xml:space="preserve"> </w:t>
      </w:r>
      <w:r w:rsidRPr="00963430">
        <w:rPr>
          <w:rFonts w:eastAsia="Times New Roman" w:cs="Times New Roman"/>
          <w:szCs w:val="24"/>
          <w:lang w:eastAsia="pt-BR"/>
        </w:rPr>
        <w:t xml:space="preserve">prazo não superior a 02 (dois) dias da assinatura do contrato, e mediante ordem de fornecimento segundo necessidades do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963430">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60 (sessenta) meses, impedida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não-manutenção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5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2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n</w:t>
      </w:r>
      <w:r w:rsidR="004E5368" w:rsidRPr="00D6390D">
        <w:rPr>
          <w:rFonts w:ascii="Times New Roman" w:hAnsi="Times New Roman" w:cs="Times New Roman"/>
          <w:color w:val="auto"/>
        </w:rPr>
        <w:t>º.</w:t>
      </w:r>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 xml:space="preserve">procederá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3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lastRenderedPageBreak/>
        <w:t>11.7.1.</w:t>
      </w:r>
      <w:r w:rsidRPr="00D6390D">
        <w:rPr>
          <w:rFonts w:ascii="Times New Roman" w:hAnsi="Times New Roman" w:cs="Times New Roman"/>
          <w:color w:val="auto"/>
        </w:rPr>
        <w:t xml:space="preserve"> Entende-se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5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O disposto nos subitens 11.7 e 11.8 não se aplica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Caso não se realizem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declarada vencedora e a ela adjudicado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3 (três) dias úteis para a apresentação das razões do recurso, ficando as demais licitantes, desde </w:t>
      </w:r>
      <w:r w:rsidRPr="00D6390D">
        <w:rPr>
          <w:rFonts w:ascii="Times New Roman" w:hAnsi="Times New Roman" w:cs="Times New Roman"/>
          <w:color w:val="auto"/>
        </w:rPr>
        <w:lastRenderedPageBreak/>
        <w:t>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.1.1. a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.1.2. a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.1.3. a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o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o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Default="004E5368" w:rsidP="008444EB">
      <w:pPr>
        <w:pStyle w:val="Default"/>
        <w:rPr>
          <w:rFonts w:ascii="Times New Roman" w:hAnsi="Times New Roman" w:cs="Times New Roman"/>
          <w:color w:val="auto"/>
          <w:sz w:val="16"/>
          <w:szCs w:val="16"/>
        </w:rPr>
      </w:pPr>
    </w:p>
    <w:p w:rsidR="004C43B3" w:rsidRPr="0073616A" w:rsidRDefault="0073616A"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w:t>
      </w:r>
      <w:r w:rsidR="004C43B3" w:rsidRPr="0073616A">
        <w:rPr>
          <w:rFonts w:ascii="Times New Roman" w:hAnsi="Times New Roman" w:cs="Times New Roman"/>
          <w:color w:val="000000" w:themeColor="text1"/>
        </w:rPr>
        <w:t xml:space="preserve">0200 – Gabinete do Prefeito.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2002 - Manutenção das atividades do Gabinete</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2005 - Manutenção das atividades do Conselho tutelar</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4C43B3" w:rsidRPr="0095422A" w:rsidRDefault="004C43B3" w:rsidP="004C43B3">
      <w:pPr>
        <w:pStyle w:val="Default"/>
        <w:ind w:firstLine="708"/>
        <w:rPr>
          <w:rFonts w:ascii="Times New Roman" w:hAnsi="Times New Roman" w:cs="Times New Roman"/>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4C43B3"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Estradas e Rodovias</w:t>
      </w:r>
    </w:p>
    <w:p w:rsidR="004C43B3" w:rsidRPr="0073616A"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2010 – Manutenção das atividades da secretaria</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w:t>
      </w:r>
      <w:r>
        <w:rPr>
          <w:rFonts w:ascii="Times New Roman" w:hAnsi="Times New Roman" w:cs="Times New Roman"/>
          <w:color w:val="000000" w:themeColor="text1"/>
        </w:rPr>
        <w:t>spesa: 3302 - 2274</w:t>
      </w:r>
    </w:p>
    <w:p w:rsidR="004C43B3" w:rsidRPr="0095422A" w:rsidRDefault="004C43B3" w:rsidP="004C43B3">
      <w:pPr>
        <w:pStyle w:val="Default"/>
        <w:rPr>
          <w:rFonts w:ascii="Times New Roman" w:hAnsi="Times New Roman" w:cs="Times New Roman"/>
          <w:color w:val="FF0000"/>
          <w:sz w:val="16"/>
          <w:szCs w:val="16"/>
        </w:rPr>
      </w:pP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2016 – Atendimento ao transporte escolar - Manutenção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sidR="0000176A">
        <w:rPr>
          <w:rFonts w:ascii="Times New Roman" w:hAnsi="Times New Roman" w:cs="Times New Roman"/>
          <w:color w:val="000000" w:themeColor="text1"/>
        </w:rPr>
        <w:t>– Fundo Especial do Petróleo</w:t>
      </w:r>
      <w:r w:rsidRPr="0073616A">
        <w:rPr>
          <w:rFonts w:ascii="Times New Roman" w:hAnsi="Times New Roman" w:cs="Times New Roman"/>
          <w:color w:val="000000" w:themeColor="text1"/>
        </w:rPr>
        <w:t xml:space="preserve">  Fonte </w:t>
      </w:r>
      <w:r w:rsidR="008625D2">
        <w:rPr>
          <w:rFonts w:ascii="Times New Roman" w:hAnsi="Times New Roman" w:cs="Times New Roman"/>
          <w:color w:val="000000" w:themeColor="text1"/>
        </w:rPr>
        <w:t>2021</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w:t>
      </w:r>
      <w:r w:rsidR="007D0402">
        <w:rPr>
          <w:rFonts w:ascii="Times New Roman" w:hAnsi="Times New Roman" w:cs="Times New Roman"/>
          <w:color w:val="000000" w:themeColor="text1"/>
        </w:rPr>
        <w:t>4</w:t>
      </w:r>
      <w:r w:rsidR="0000176A">
        <w:rPr>
          <w:rFonts w:ascii="Times New Roman" w:hAnsi="Times New Roman" w:cs="Times New Roman"/>
          <w:color w:val="000000" w:themeColor="text1"/>
        </w:rPr>
        <w:t>3</w:t>
      </w:r>
      <w:r w:rsidRPr="0073616A">
        <w:rPr>
          <w:rFonts w:ascii="Times New Roman" w:hAnsi="Times New Roman" w:cs="Times New Roman"/>
          <w:color w:val="000000" w:themeColor="text1"/>
        </w:rPr>
        <w:t>6</w:t>
      </w:r>
    </w:p>
    <w:p w:rsidR="004C43B3" w:rsidRPr="0073616A" w:rsidRDefault="004C43B3" w:rsidP="004C43B3">
      <w:pPr>
        <w:pStyle w:val="Default"/>
        <w:ind w:firstLine="708"/>
        <w:rPr>
          <w:rFonts w:ascii="Times New Roman" w:hAnsi="Times New Roman" w:cs="Times New Roman"/>
          <w:color w:val="000000" w:themeColor="text1"/>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2016 – Atendimento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sidR="00792544">
        <w:rPr>
          <w:rFonts w:ascii="Times New Roman" w:hAnsi="Times New Roman" w:cs="Times New Roman"/>
          <w:color w:val="000000" w:themeColor="text1"/>
        </w:rPr>
        <w:t>Salário Educação</w:t>
      </w:r>
      <w:r w:rsidRPr="0073616A">
        <w:rPr>
          <w:rFonts w:ascii="Times New Roman" w:hAnsi="Times New Roman" w:cs="Times New Roman"/>
          <w:color w:val="000000" w:themeColor="text1"/>
        </w:rPr>
        <w:t xml:space="preserve">  Fonte 1070</w:t>
      </w:r>
      <w:r w:rsidR="000C7DC2">
        <w:rPr>
          <w:rFonts w:ascii="Times New Roman" w:hAnsi="Times New Roman" w:cs="Times New Roman"/>
          <w:color w:val="000000" w:themeColor="text1"/>
        </w:rPr>
        <w:t xml:space="preserve">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r w:rsidR="000C7DC2">
        <w:rPr>
          <w:rFonts w:ascii="Times New Roman" w:hAnsi="Times New Roman" w:cs="Times New Roman"/>
          <w:color w:val="000000" w:themeColor="text1"/>
        </w:rPr>
        <w:t xml:space="preserve"> </w:t>
      </w:r>
      <w:r w:rsidR="009D0E87">
        <w:rPr>
          <w:rFonts w:ascii="Times New Roman" w:hAnsi="Times New Roman" w:cs="Times New Roman"/>
          <w:color w:val="000000" w:themeColor="text1"/>
        </w:rPr>
        <w:t>-2545</w:t>
      </w:r>
    </w:p>
    <w:p w:rsidR="004B1B27" w:rsidRPr="0095422A" w:rsidRDefault="004B1B27" w:rsidP="004B1B27">
      <w:pPr>
        <w:pStyle w:val="Default"/>
        <w:ind w:firstLine="708"/>
        <w:rPr>
          <w:rFonts w:ascii="Times New Roman" w:hAnsi="Times New Roman" w:cs="Times New Roman"/>
          <w:color w:val="FF0000"/>
        </w:rPr>
      </w:pP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070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Secretaria Municipal de Agropecuária e Meio Ambiente.  </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23</w:t>
      </w:r>
      <w:r w:rsidRPr="0073616A">
        <w:rPr>
          <w:rFonts w:ascii="Times New Roman" w:hAnsi="Times New Roman" w:cs="Times New Roman"/>
          <w:color w:val="000000" w:themeColor="text1"/>
        </w:rPr>
        <w:t xml:space="preserve"> - Manutenção das atividades da Secretaria</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4B1B27" w:rsidRPr="0095422A" w:rsidRDefault="004B1B27" w:rsidP="008444EB">
      <w:pPr>
        <w:pStyle w:val="Default"/>
        <w:rPr>
          <w:rFonts w:ascii="Times New Roman" w:hAnsi="Times New Roman" w:cs="Times New Roman"/>
          <w:color w:val="FF0000"/>
          <w:sz w:val="16"/>
          <w:szCs w:val="16"/>
        </w:rPr>
      </w:pP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sid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3F0CD3" w:rsidRDefault="00904645"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21</w:t>
      </w:r>
      <w:r w:rsidR="0073616A"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003F0CD3"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3F0CD3"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 da Saúde</w:t>
      </w:r>
    </w:p>
    <w:p w:rsidR="00904645" w:rsidRDefault="00904645"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2035 – Qualificação da Saúde da Família</w:t>
      </w:r>
    </w:p>
    <w:p w:rsidR="00904645" w:rsidRDefault="00904645"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2025 – Manutenção das Ativ. Da Sec</w:t>
      </w:r>
      <w:r w:rsidR="00694A40">
        <w:rPr>
          <w:rFonts w:ascii="Times New Roman" w:hAnsi="Times New Roman" w:cs="Times New Roman"/>
          <w:color w:val="000000" w:themeColor="text1"/>
        </w:rPr>
        <w:t>retaria de Saúde</w:t>
      </w:r>
    </w:p>
    <w:p w:rsidR="00732B1E" w:rsidRDefault="00732B1E"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1137 – Vigilância em Saúde</w:t>
      </w:r>
    </w:p>
    <w:p w:rsidR="00732B1E" w:rsidRDefault="00732B1E"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2153 – Atenção Domiciliar</w:t>
      </w:r>
    </w:p>
    <w:p w:rsidR="00B3181A" w:rsidRDefault="00B3181A"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2141 – Qualificação do Serviço de Urgência e Emergência</w:t>
      </w:r>
    </w:p>
    <w:p w:rsidR="00B3181A" w:rsidRPr="0073616A" w:rsidRDefault="00B3181A"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2071 – Saúde da População SAI/SUS</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3F0CD3" w:rsidRPr="008C0226" w:rsidRDefault="00904645" w:rsidP="003F0CD3">
      <w:pPr>
        <w:pStyle w:val="Default"/>
        <w:ind w:firstLine="708"/>
        <w:rPr>
          <w:rFonts w:ascii="Times New Roman" w:hAnsi="Times New Roman" w:cs="Times New Roman"/>
          <w:color w:val="000000" w:themeColor="text1"/>
        </w:rPr>
      </w:pPr>
      <w:r w:rsidRPr="008C0226">
        <w:rPr>
          <w:rFonts w:ascii="Times New Roman" w:hAnsi="Times New Roman" w:cs="Times New Roman"/>
          <w:color w:val="000000" w:themeColor="text1"/>
        </w:rPr>
        <w:t>Despesa: 4801- 4563 – 3752- 3715</w:t>
      </w:r>
      <w:r w:rsidR="00694A40" w:rsidRPr="008C0226">
        <w:rPr>
          <w:rFonts w:ascii="Times New Roman" w:hAnsi="Times New Roman" w:cs="Times New Roman"/>
          <w:color w:val="000000" w:themeColor="text1"/>
        </w:rPr>
        <w:t>- 2674</w:t>
      </w:r>
      <w:r w:rsidR="00732B1E" w:rsidRPr="008C0226">
        <w:rPr>
          <w:rFonts w:ascii="Times New Roman" w:hAnsi="Times New Roman" w:cs="Times New Roman"/>
          <w:color w:val="000000" w:themeColor="text1"/>
        </w:rPr>
        <w:t>-3751</w:t>
      </w:r>
      <w:r w:rsidR="00B3181A" w:rsidRPr="008C0226">
        <w:rPr>
          <w:rFonts w:ascii="Times New Roman" w:hAnsi="Times New Roman" w:cs="Times New Roman"/>
          <w:color w:val="000000" w:themeColor="text1"/>
        </w:rPr>
        <w:t xml:space="preserve">- 3911 - 4324 </w:t>
      </w:r>
      <w:r w:rsidR="004A1402" w:rsidRPr="008C0226">
        <w:rPr>
          <w:rFonts w:ascii="Times New Roman" w:hAnsi="Times New Roman" w:cs="Times New Roman"/>
          <w:color w:val="000000" w:themeColor="text1"/>
        </w:rPr>
        <w:t>–</w:t>
      </w:r>
      <w:r w:rsidR="00B3181A" w:rsidRPr="008C0226">
        <w:rPr>
          <w:rFonts w:ascii="Times New Roman" w:hAnsi="Times New Roman" w:cs="Times New Roman"/>
          <w:color w:val="000000" w:themeColor="text1"/>
        </w:rPr>
        <w:t xml:space="preserve"> 4501</w:t>
      </w:r>
      <w:r w:rsidR="004A1402" w:rsidRPr="008C0226">
        <w:rPr>
          <w:rFonts w:ascii="Times New Roman" w:hAnsi="Times New Roman" w:cs="Times New Roman"/>
          <w:color w:val="000000" w:themeColor="text1"/>
        </w:rPr>
        <w:t>- 3750</w:t>
      </w:r>
    </w:p>
    <w:p w:rsidR="006B4A60" w:rsidRPr="008C0226" w:rsidRDefault="0073616A" w:rsidP="008C0226">
      <w:pPr>
        <w:pStyle w:val="Default"/>
        <w:ind w:left="708"/>
        <w:rPr>
          <w:rFonts w:ascii="Times New Roman" w:hAnsi="Times New Roman" w:cs="Times New Roman"/>
        </w:rPr>
      </w:pPr>
      <w:r w:rsidRPr="008C0226">
        <w:rPr>
          <w:rFonts w:ascii="Times New Roman" w:hAnsi="Times New Roman" w:cs="Times New Roman"/>
          <w:color w:val="000000" w:themeColor="text1"/>
        </w:rPr>
        <w:t>Fonte de Recurso –</w:t>
      </w:r>
      <w:r w:rsidR="00904645" w:rsidRPr="008C0226">
        <w:rPr>
          <w:rFonts w:ascii="Times New Roman" w:hAnsi="Times New Roman" w:cs="Times New Roman"/>
          <w:color w:val="000000" w:themeColor="text1"/>
        </w:rPr>
        <w:t>4500 PMAQ – 4011 PIES – 4090 ESF ESTAD.- 4500 ESF FED.</w:t>
      </w:r>
      <w:r w:rsidR="00694A40" w:rsidRPr="008C0226">
        <w:rPr>
          <w:rFonts w:ascii="Times New Roman" w:hAnsi="Times New Roman" w:cs="Times New Roman"/>
          <w:color w:val="000000" w:themeColor="text1"/>
        </w:rPr>
        <w:t>- 40 ASPS</w:t>
      </w:r>
      <w:r w:rsidR="00732B1E" w:rsidRPr="008C0226">
        <w:rPr>
          <w:rFonts w:ascii="Times New Roman" w:hAnsi="Times New Roman" w:cs="Times New Roman"/>
          <w:color w:val="000000" w:themeColor="text1"/>
        </w:rPr>
        <w:t xml:space="preserve"> – 4502 Teto Financeiro - Vigilância em Saúde – 4501 </w:t>
      </w:r>
      <w:r w:rsidR="00B3181A" w:rsidRPr="008C0226">
        <w:rPr>
          <w:rFonts w:ascii="Times New Roman" w:hAnsi="Times New Roman" w:cs="Times New Roman"/>
          <w:color w:val="000000" w:themeColor="text1"/>
        </w:rPr>
        <w:t xml:space="preserve">EMAD – 4501 </w:t>
      </w:r>
      <w:r w:rsidR="008625D2" w:rsidRPr="008C0226">
        <w:rPr>
          <w:rFonts w:ascii="Times New Roman" w:hAnsi="Times New Roman" w:cs="Times New Roman"/>
          <w:color w:val="000000" w:themeColor="text1"/>
        </w:rPr>
        <w:t>SAMU</w:t>
      </w:r>
      <w:r w:rsidR="004A1402" w:rsidRPr="008C0226">
        <w:rPr>
          <w:rFonts w:ascii="Times New Roman" w:hAnsi="Times New Roman" w:cs="Times New Roman"/>
          <w:color w:val="000000" w:themeColor="text1"/>
        </w:rPr>
        <w:t xml:space="preserve"> Federal – 4501Média -</w:t>
      </w:r>
      <w:r w:rsidR="00B3181A" w:rsidRPr="008C0226">
        <w:rPr>
          <w:rFonts w:ascii="Times New Roman" w:hAnsi="Times New Roman" w:cs="Times New Roman"/>
          <w:color w:val="000000" w:themeColor="text1"/>
        </w:rPr>
        <w:t xml:space="preserve"> Alta Complexidade</w:t>
      </w:r>
      <w:r w:rsidR="004A1402" w:rsidRPr="008C0226">
        <w:rPr>
          <w:rFonts w:ascii="Times New Roman" w:hAnsi="Times New Roman" w:cs="Times New Roman"/>
          <w:color w:val="000000" w:themeColor="text1"/>
        </w:rPr>
        <w:t xml:space="preserve"> – 4220 Centro de atenção</w:t>
      </w:r>
      <w:r w:rsidR="008625D2" w:rsidRPr="008C0226">
        <w:rPr>
          <w:rFonts w:ascii="Times New Roman" w:hAnsi="Times New Roman" w:cs="Times New Roman"/>
          <w:color w:val="000000" w:themeColor="text1"/>
        </w:rPr>
        <w:t xml:space="preserve"> </w:t>
      </w:r>
      <w:r w:rsidR="004A1402" w:rsidRPr="008C0226">
        <w:rPr>
          <w:rFonts w:ascii="Times New Roman" w:hAnsi="Times New Roman" w:cs="Times New Roman"/>
          <w:color w:val="000000" w:themeColor="text1"/>
        </w:rPr>
        <w:t>Psicossocial</w:t>
      </w:r>
      <w:r w:rsidR="00DB1E28" w:rsidRPr="008C0226">
        <w:rPr>
          <w:rFonts w:ascii="Times New Roman" w:hAnsi="Times New Roman" w:cs="Times New Roman"/>
          <w:color w:val="000000" w:themeColor="text1"/>
        </w:rPr>
        <w:t xml:space="preserve"> </w:t>
      </w:r>
      <w:r w:rsidR="008C0226" w:rsidRPr="008C0226">
        <w:rPr>
          <w:rFonts w:ascii="Times New Roman" w:hAnsi="Times New Roman" w:cs="Times New Roman"/>
          <w:color w:val="000000" w:themeColor="text1"/>
        </w:rPr>
        <w:t>–</w:t>
      </w:r>
      <w:r w:rsidR="00DB1E28" w:rsidRPr="008C0226">
        <w:rPr>
          <w:rFonts w:ascii="Times New Roman" w:hAnsi="Times New Roman" w:cs="Times New Roman"/>
          <w:color w:val="000000" w:themeColor="text1"/>
        </w:rPr>
        <w:t xml:space="preserve"> </w:t>
      </w:r>
    </w:p>
    <w:p w:rsidR="008C0226" w:rsidRPr="008C0226" w:rsidRDefault="008C0226" w:rsidP="008C0226">
      <w:pPr>
        <w:ind w:firstLine="708"/>
        <w:rPr>
          <w:rFonts w:cs="Times New Roman"/>
        </w:rPr>
      </w:pPr>
      <w:r w:rsidRPr="008C0226">
        <w:rPr>
          <w:rFonts w:cs="Times New Roman"/>
        </w:rPr>
        <w:t xml:space="preserve">Fonte de Recurso : </w:t>
      </w:r>
      <w:r w:rsidRPr="008C0226">
        <w:rPr>
          <w:rFonts w:cs="Times New Roman"/>
        </w:rPr>
        <w:tab/>
        <w:t>4511- Custeio – outros programas financiados</w:t>
      </w:r>
    </w:p>
    <w:p w:rsidR="008C0226" w:rsidRPr="008C0226" w:rsidRDefault="008C0226" w:rsidP="008C0226">
      <w:pPr>
        <w:ind w:firstLine="708"/>
        <w:rPr>
          <w:rFonts w:cs="Times New Roman"/>
        </w:rPr>
      </w:pPr>
      <w:r w:rsidRPr="008C0226">
        <w:rPr>
          <w:rFonts w:cs="Times New Roman"/>
        </w:rPr>
        <w:t xml:space="preserve">Transferências fundo a fundo – portaria 1.666/MS </w:t>
      </w:r>
    </w:p>
    <w:p w:rsidR="008C0226" w:rsidRPr="00F60426" w:rsidRDefault="008C0226" w:rsidP="008C0226">
      <w:pPr>
        <w:pStyle w:val="Default"/>
        <w:ind w:left="708"/>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folha tamanho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terão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não-apresentados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serão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r w:rsidR="008625D2">
        <w:rPr>
          <w:rFonts w:ascii="Times New Roman" w:hAnsi="Times New Roman" w:cs="Times New Roman"/>
          <w:color w:val="auto"/>
        </w:rPr>
        <w:t>para habilitação</w:t>
      </w:r>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VI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w:t>
      </w:r>
      <w:r w:rsidR="00963430">
        <w:rPr>
          <w:rFonts w:ascii="Times New Roman" w:hAnsi="Times New Roman" w:cs="Times New Roman"/>
          <w:color w:val="auto"/>
        </w:rPr>
        <w:t>o</w:t>
      </w:r>
      <w:r w:rsidRPr="00D6390D">
        <w:rPr>
          <w:rFonts w:ascii="Times New Roman" w:hAnsi="Times New Roman" w:cs="Times New Roman"/>
          <w:color w:val="auto"/>
        </w:rPr>
        <w:t xml:space="preserve">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c) informações de Cadastro - CRC: (53) 3248-3500, </w:t>
      </w:r>
      <w:r w:rsidR="00E35B1E" w:rsidRPr="00D6390D">
        <w:rPr>
          <w:rFonts w:ascii="Times New Roman" w:hAnsi="Times New Roman" w:cs="Times New Roman"/>
          <w:color w:val="auto"/>
        </w:rPr>
        <w:t xml:space="preserve">com </w:t>
      </w:r>
      <w:r w:rsidRPr="00D6390D">
        <w:rPr>
          <w:rFonts w:ascii="Times New Roman" w:hAnsi="Times New Roman" w:cs="Times New Roman"/>
          <w:b/>
          <w:color w:val="auto"/>
        </w:rPr>
        <w:t>Marcelo</w:t>
      </w:r>
      <w:r w:rsidR="00590FDD" w:rsidRPr="00D6390D">
        <w:rPr>
          <w:rFonts w:ascii="Times New Roman" w:hAnsi="Times New Roman" w:cs="Times New Roman"/>
          <w:b/>
          <w:color w:val="auto"/>
        </w:rPr>
        <w:t>.</w:t>
      </w:r>
      <w:r w:rsidRPr="00D6390D">
        <w:rPr>
          <w:rFonts w:ascii="Times New Roman" w:hAnsi="Times New Roman" w:cs="Times New Roman"/>
          <w:color w:val="auto"/>
        </w:rPr>
        <w:t xml:space="preserve">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8440D2" w:rsidRDefault="008440D2"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792544">
        <w:rPr>
          <w:rFonts w:ascii="Times New Roman" w:hAnsi="Times New Roman" w:cs="Times New Roman"/>
          <w:b/>
          <w:color w:val="auto"/>
        </w:rPr>
        <w:t>15</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792544">
        <w:rPr>
          <w:rFonts w:ascii="Times New Roman" w:hAnsi="Times New Roman" w:cs="Times New Roman"/>
          <w:b/>
          <w:color w:val="auto"/>
        </w:rPr>
        <w:t>janeiro</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8625D2">
        <w:rPr>
          <w:rFonts w:ascii="Times New Roman" w:hAnsi="Times New Roman" w:cs="Times New Roman"/>
          <w:b/>
          <w:color w:val="auto"/>
        </w:rPr>
        <w:t>2021</w:t>
      </w:r>
      <w:r w:rsidRPr="00804F50">
        <w:rPr>
          <w:rFonts w:ascii="Times New Roman" w:hAnsi="Times New Roman" w:cs="Times New Roman"/>
          <w:b/>
          <w:color w:val="auto"/>
        </w:rPr>
        <w:t xml:space="preserve">. </w:t>
      </w:r>
    </w:p>
    <w:p w:rsidR="00AE398B" w:rsidRPr="00425CF2" w:rsidRDefault="00AE398B" w:rsidP="00280611">
      <w:pPr>
        <w:pStyle w:val="Default"/>
        <w:ind w:right="4535"/>
        <w:jc w:val="both"/>
        <w:rPr>
          <w:rFonts w:ascii="Times New Roman" w:hAnsi="Times New Roman" w:cs="Times New Roman"/>
          <w:color w:val="auto"/>
          <w:sz w:val="16"/>
          <w:szCs w:val="16"/>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4EB" w:rsidRPr="00D6390D"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Com exceção do objeto, sobre o qual o Procurador jurídico não possui conhe</w:t>
      </w:r>
      <w:r w:rsidR="008C039B" w:rsidRPr="00D6390D">
        <w:rPr>
          <w:rFonts w:ascii="Times New Roman" w:hAnsi="Times New Roman" w:cs="Times New Roman"/>
          <w:color w:val="auto"/>
        </w:rPr>
        <w:t>-</w:t>
      </w:r>
      <w:r w:rsidRPr="00D6390D">
        <w:rPr>
          <w:rFonts w:ascii="Times New Roman" w:hAnsi="Times New Roman" w:cs="Times New Roman"/>
          <w:color w:val="auto"/>
        </w:rPr>
        <w:t>cimento técnico para se manifestar,</w:t>
      </w:r>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963430">
        <w:rPr>
          <w:rFonts w:ascii="Times New Roman" w:hAnsi="Times New Roman" w:cs="Times New Roman"/>
          <w:color w:val="auto"/>
        </w:rPr>
        <w:t xml:space="preserve">e seus anexos </w:t>
      </w:r>
      <w:r w:rsidRPr="00D6390D">
        <w:rPr>
          <w:rFonts w:ascii="Times New Roman" w:hAnsi="Times New Roman" w:cs="Times New Roman"/>
          <w:color w:val="auto"/>
        </w:rPr>
        <w:t>encontra</w:t>
      </w:r>
      <w:r w:rsidR="00963430">
        <w:rPr>
          <w:rFonts w:ascii="Times New Roman" w:hAnsi="Times New Roman" w:cs="Times New Roman"/>
          <w:color w:val="auto"/>
        </w:rPr>
        <w:t>m-se</w:t>
      </w:r>
      <w:r w:rsidRPr="00D6390D">
        <w:rPr>
          <w:rFonts w:ascii="Times New Roman" w:hAnsi="Times New Roman" w:cs="Times New Roman"/>
          <w:color w:val="auto"/>
        </w:rPr>
        <w:t xml:space="preserve"> examinado</w:t>
      </w:r>
      <w:r w:rsidR="00963430">
        <w:rPr>
          <w:rFonts w:ascii="Times New Roman" w:hAnsi="Times New Roman" w:cs="Times New Roman"/>
          <w:color w:val="auto"/>
        </w:rPr>
        <w:t>s</w:t>
      </w:r>
      <w:r w:rsidRPr="00D6390D">
        <w:rPr>
          <w:rFonts w:ascii="Times New Roman" w:hAnsi="Times New Roman" w:cs="Times New Roman"/>
          <w:color w:val="auto"/>
        </w:rPr>
        <w:t xml:space="preserve"> e aprovado</w:t>
      </w:r>
      <w:r w:rsidR="00963430">
        <w:rPr>
          <w:rFonts w:ascii="Times New Roman" w:hAnsi="Times New Roman" w:cs="Times New Roman"/>
          <w:color w:val="auto"/>
        </w:rPr>
        <w:t>s</w:t>
      </w:r>
      <w:r w:rsidRPr="00D6390D">
        <w:rPr>
          <w:rFonts w:ascii="Times New Roman" w:hAnsi="Times New Roman" w:cs="Times New Roman"/>
          <w:color w:val="auto"/>
        </w:rPr>
        <w:t xml:space="preserve"> pela assessoria jurídica. </w:t>
      </w: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4456C5" w:rsidRDefault="00CE45EB" w:rsidP="004456C5">
            <w:pPr>
              <w:pStyle w:val="Default"/>
              <w:jc w:val="center"/>
              <w:rPr>
                <w:rFonts w:ascii="Times New Roman" w:hAnsi="Times New Roman" w:cs="Times New Roman"/>
                <w:color w:val="auto"/>
              </w:rPr>
            </w:pPr>
            <w:r>
              <w:rPr>
                <w:rFonts w:ascii="Times New Roman" w:hAnsi="Times New Roman" w:cs="Times New Roman"/>
                <w:color w:val="auto"/>
              </w:rPr>
              <w:t>Ronaldo Costa Madruga</w:t>
            </w:r>
          </w:p>
          <w:p w:rsidR="000E556A" w:rsidRPr="00D6390D" w:rsidRDefault="000E556A" w:rsidP="004456C5">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425CF2" w:rsidRDefault="00425CF2"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792544">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 xml:space="preserve">Pelo presente, credenciamos o(a) Sr(a). ___________________________, portador(a) da Cédula de Identidade com RG n.º ____________________, para participar em procedimento licitatório, consistente no Pregão Presencial n.º </w:t>
      </w:r>
      <w:r w:rsidR="008625D2">
        <w:rPr>
          <w:rFonts w:ascii="Times New Roman" w:hAnsi="Times New Roman" w:cs="Times New Roman"/>
          <w:color w:val="auto"/>
        </w:rPr>
        <w:t>002/2021</w:t>
      </w:r>
      <w:r w:rsidRPr="00D6390D">
        <w:rPr>
          <w:rFonts w:ascii="Times New Roman" w:hAnsi="Times New Roman" w:cs="Times New Roman"/>
          <w:color w:val="auto"/>
        </w:rPr>
        <w:t>, podendo praticar todos os atos inerentes ao referido procedimento, no que diz respeito aos interesses da representada, inclusive os poderes para formular lances, negociar preços, interpor e desistir de recursos em todas as fases licitatórias.</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de </w:t>
      </w:r>
      <w:r w:rsidR="008625D2">
        <w:rPr>
          <w:rFonts w:ascii="Times New Roman" w:hAnsi="Times New Roman" w:cs="Times New Roman"/>
          <w:color w:val="auto"/>
        </w:rPr>
        <w:t>2021</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0E5B5F" w:rsidP="00FF15CA">
      <w:pPr>
        <w:pStyle w:val="Default"/>
        <w:spacing w:line="360" w:lineRule="auto"/>
        <w:rPr>
          <w:rFonts w:ascii="Times New Roman" w:hAnsi="Times New Roman" w:cs="Times New Roman"/>
          <w:color w:val="auto"/>
        </w:rPr>
      </w:pPr>
      <w:r>
        <w:rPr>
          <w:rFonts w:ascii="Times New Roman" w:hAnsi="Times New Roman" w:cs="Times New Roman"/>
          <w:color w:val="auto"/>
        </w:rPr>
        <w:t xml:space="preserve">QUANTITATIVO POR ITEM / </w:t>
      </w:r>
      <w:r w:rsidR="008444EB" w:rsidRPr="00D6390D">
        <w:rPr>
          <w:rFonts w:ascii="Times New Roman" w:hAnsi="Times New Roman" w:cs="Times New Roman"/>
          <w:color w:val="auto"/>
        </w:rPr>
        <w:t xml:space="preserve">FORMULÁRIO PADRÃO PARA PREENCHIMENTO DA PROPOSTA REFERENTE AO PREGÃO PRESENCIAL N.º </w:t>
      </w:r>
      <w:r w:rsidR="008625D2">
        <w:rPr>
          <w:rFonts w:ascii="Times New Roman" w:hAnsi="Times New Roman" w:cs="Times New Roman"/>
          <w:color w:val="auto"/>
        </w:rPr>
        <w:t>002/2021</w:t>
      </w:r>
      <w:r w:rsidR="008444EB" w:rsidRPr="00D6390D">
        <w:rPr>
          <w:rFonts w:ascii="Times New Roman" w:hAnsi="Times New Roman" w:cs="Times New Roman"/>
          <w:color w:val="auto"/>
        </w:rPr>
        <w:t xml:space="preserve">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7A3049" w:rsidP="00E97497">
      <w:pPr>
        <w:jc w:val="center"/>
        <w:rPr>
          <w:rFonts w:cs="Times New Roman"/>
          <w:b/>
          <w:szCs w:val="24"/>
          <w:u w:val="single"/>
        </w:rPr>
      </w:pPr>
      <w:r>
        <w:rPr>
          <w:rFonts w:cs="Times New Roman"/>
          <w:b/>
          <w:szCs w:val="24"/>
          <w:u w:val="single"/>
        </w:rPr>
        <w:t>Gasolina Comum</w:t>
      </w:r>
      <w:r w:rsidR="0005304C">
        <w:rPr>
          <w:rFonts w:cs="Times New Roman"/>
          <w:b/>
          <w:szCs w:val="24"/>
          <w:u w:val="single"/>
        </w:rPr>
        <w:t>, Óleo Diesel s500, ARLA</w:t>
      </w:r>
      <w:r w:rsidR="00EA1ECF">
        <w:rPr>
          <w:rFonts w:cs="Times New Roman"/>
          <w:b/>
          <w:szCs w:val="24"/>
          <w:u w:val="single"/>
        </w:rPr>
        <w:t>,</w:t>
      </w:r>
      <w:r>
        <w:rPr>
          <w:rFonts w:cs="Times New Roman"/>
          <w:b/>
          <w:szCs w:val="24"/>
          <w:u w:val="single"/>
        </w:rPr>
        <w:t xml:space="preserve"> Óleo Diesel S10</w:t>
      </w:r>
      <w:r w:rsidR="00EA1ECF">
        <w:rPr>
          <w:rFonts w:cs="Times New Roman"/>
          <w:b/>
          <w:szCs w:val="24"/>
          <w:u w:val="single"/>
        </w:rPr>
        <w:t xml:space="preserve"> </w:t>
      </w:r>
    </w:p>
    <w:p w:rsidR="00E97497" w:rsidRDefault="00E97497" w:rsidP="00E97497">
      <w:pPr>
        <w:jc w:val="center"/>
        <w:rPr>
          <w:rFonts w:cs="Times New Roman"/>
          <w:b/>
          <w:szCs w:val="24"/>
          <w:u w:val="single"/>
        </w:rPr>
      </w:pPr>
    </w:p>
    <w:tbl>
      <w:tblPr>
        <w:tblStyle w:val="Tabelacomgrade"/>
        <w:tblW w:w="9694" w:type="dxa"/>
        <w:jc w:val="center"/>
        <w:tblLayout w:type="fixed"/>
        <w:tblLook w:val="04A0" w:firstRow="1" w:lastRow="0" w:firstColumn="1" w:lastColumn="0" w:noHBand="0" w:noVBand="1"/>
      </w:tblPr>
      <w:tblGrid>
        <w:gridCol w:w="622"/>
        <w:gridCol w:w="617"/>
        <w:gridCol w:w="1134"/>
        <w:gridCol w:w="2784"/>
        <w:gridCol w:w="1276"/>
        <w:gridCol w:w="1250"/>
        <w:gridCol w:w="1018"/>
        <w:gridCol w:w="993"/>
      </w:tblGrid>
      <w:tr w:rsidR="00EA1ECF" w:rsidRPr="00A05BDC" w:rsidTr="00EA1ECF">
        <w:trPr>
          <w:jc w:val="center"/>
        </w:trPr>
        <w:tc>
          <w:tcPr>
            <w:tcW w:w="622" w:type="dxa"/>
            <w:vMerge w:val="restart"/>
            <w:tcBorders>
              <w:right w:val="single" w:sz="4" w:space="0" w:color="auto"/>
            </w:tcBorders>
            <w:vAlign w:val="center"/>
          </w:tcPr>
          <w:p w:rsidR="00EA1ECF" w:rsidRPr="00A05BDC" w:rsidRDefault="00EA1ECF" w:rsidP="00F66497">
            <w:pPr>
              <w:jc w:val="center"/>
              <w:rPr>
                <w:rFonts w:cs="Times New Roman"/>
                <w:b/>
                <w:sz w:val="20"/>
                <w:szCs w:val="20"/>
              </w:rPr>
            </w:pPr>
            <w:r>
              <w:rPr>
                <w:rFonts w:cs="Times New Roman"/>
                <w:b/>
                <w:sz w:val="20"/>
                <w:szCs w:val="20"/>
              </w:rPr>
              <w:t>Item</w:t>
            </w:r>
          </w:p>
        </w:tc>
        <w:tc>
          <w:tcPr>
            <w:tcW w:w="617" w:type="dxa"/>
            <w:vMerge w:val="restart"/>
            <w:tcBorders>
              <w:right w:val="single" w:sz="4" w:space="0" w:color="auto"/>
            </w:tcBorders>
            <w:vAlign w:val="center"/>
          </w:tcPr>
          <w:p w:rsidR="00EA1ECF" w:rsidRPr="00A05BDC" w:rsidRDefault="00EA1ECF" w:rsidP="00F66497">
            <w:pPr>
              <w:jc w:val="center"/>
              <w:rPr>
                <w:rFonts w:cs="Times New Roman"/>
                <w:b/>
                <w:sz w:val="20"/>
                <w:szCs w:val="20"/>
              </w:rPr>
            </w:pPr>
            <w:r w:rsidRPr="00A05BDC">
              <w:rPr>
                <w:rFonts w:cs="Times New Roman"/>
                <w:b/>
                <w:sz w:val="20"/>
                <w:szCs w:val="20"/>
              </w:rPr>
              <w:t>Un.</w:t>
            </w:r>
          </w:p>
        </w:tc>
        <w:tc>
          <w:tcPr>
            <w:tcW w:w="1134" w:type="dxa"/>
            <w:vMerge w:val="restart"/>
            <w:tcBorders>
              <w:left w:val="single" w:sz="4" w:space="0" w:color="auto"/>
            </w:tcBorders>
            <w:vAlign w:val="center"/>
          </w:tcPr>
          <w:p w:rsidR="00EA1ECF" w:rsidRPr="00A05BDC" w:rsidRDefault="00EA1ECF" w:rsidP="00F66497">
            <w:pPr>
              <w:jc w:val="center"/>
              <w:rPr>
                <w:rFonts w:cs="Times New Roman"/>
                <w:b/>
                <w:sz w:val="20"/>
                <w:szCs w:val="20"/>
              </w:rPr>
            </w:pPr>
            <w:r w:rsidRPr="00A05BDC">
              <w:rPr>
                <w:rFonts w:cs="Times New Roman"/>
                <w:b/>
                <w:sz w:val="20"/>
                <w:szCs w:val="20"/>
              </w:rPr>
              <w:t>Qtd.</w:t>
            </w:r>
          </w:p>
        </w:tc>
        <w:tc>
          <w:tcPr>
            <w:tcW w:w="2784" w:type="dxa"/>
            <w:vMerge w:val="restart"/>
            <w:tcBorders>
              <w:left w:val="nil"/>
            </w:tcBorders>
            <w:vAlign w:val="center"/>
          </w:tcPr>
          <w:p w:rsidR="00EA1ECF" w:rsidRPr="00A05BDC" w:rsidRDefault="00EA1ECF"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276" w:type="dxa"/>
            <w:vMerge w:val="restart"/>
            <w:vAlign w:val="center"/>
          </w:tcPr>
          <w:p w:rsidR="00EA1ECF" w:rsidRPr="00A05BDC" w:rsidRDefault="00EA1ECF"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1250" w:type="dxa"/>
          </w:tcPr>
          <w:p w:rsidR="00EA1ECF" w:rsidRPr="00A05BDC" w:rsidRDefault="00EA1ECF" w:rsidP="00F66497">
            <w:pPr>
              <w:jc w:val="center"/>
              <w:rPr>
                <w:rFonts w:cs="Times New Roman"/>
                <w:b/>
                <w:sz w:val="20"/>
                <w:szCs w:val="20"/>
              </w:rPr>
            </w:pPr>
            <w:r>
              <w:rPr>
                <w:rFonts w:cs="Times New Roman"/>
                <w:b/>
                <w:sz w:val="20"/>
                <w:szCs w:val="20"/>
              </w:rPr>
              <w:t>Referência</w:t>
            </w:r>
          </w:p>
        </w:tc>
        <w:tc>
          <w:tcPr>
            <w:tcW w:w="1018" w:type="dxa"/>
          </w:tcPr>
          <w:p w:rsidR="00EA1ECF" w:rsidRPr="00A05BDC" w:rsidRDefault="00EA1ECF" w:rsidP="00F66497">
            <w:pPr>
              <w:jc w:val="center"/>
              <w:rPr>
                <w:rFonts w:cs="Times New Roman"/>
                <w:b/>
                <w:sz w:val="20"/>
                <w:szCs w:val="20"/>
              </w:rPr>
            </w:pPr>
            <w:r>
              <w:rPr>
                <w:rFonts w:cs="Times New Roman"/>
                <w:b/>
                <w:sz w:val="20"/>
                <w:szCs w:val="20"/>
              </w:rPr>
              <w:t>Unitário</w:t>
            </w:r>
          </w:p>
        </w:tc>
        <w:tc>
          <w:tcPr>
            <w:tcW w:w="993" w:type="dxa"/>
          </w:tcPr>
          <w:p w:rsidR="00EA1ECF" w:rsidRPr="00A05BDC" w:rsidRDefault="00EA1ECF" w:rsidP="00F66497">
            <w:pPr>
              <w:jc w:val="center"/>
              <w:rPr>
                <w:rFonts w:cs="Times New Roman"/>
                <w:b/>
                <w:sz w:val="20"/>
                <w:szCs w:val="20"/>
              </w:rPr>
            </w:pPr>
            <w:r>
              <w:rPr>
                <w:rFonts w:cs="Times New Roman"/>
                <w:b/>
                <w:sz w:val="20"/>
                <w:szCs w:val="20"/>
              </w:rPr>
              <w:t>Total</w:t>
            </w:r>
          </w:p>
        </w:tc>
      </w:tr>
      <w:tr w:rsidR="00EA1ECF" w:rsidRPr="00A05BDC" w:rsidTr="00EA1ECF">
        <w:trPr>
          <w:jc w:val="center"/>
        </w:trPr>
        <w:tc>
          <w:tcPr>
            <w:tcW w:w="622" w:type="dxa"/>
            <w:vMerge/>
            <w:tcBorders>
              <w:right w:val="single" w:sz="4" w:space="0" w:color="auto"/>
            </w:tcBorders>
            <w:vAlign w:val="center"/>
          </w:tcPr>
          <w:p w:rsidR="00EA1ECF" w:rsidRPr="00A05BDC" w:rsidRDefault="00EA1ECF" w:rsidP="00F66497">
            <w:pPr>
              <w:jc w:val="center"/>
              <w:rPr>
                <w:rFonts w:cs="Times New Roman"/>
                <w:b/>
                <w:sz w:val="20"/>
                <w:szCs w:val="20"/>
              </w:rPr>
            </w:pPr>
          </w:p>
        </w:tc>
        <w:tc>
          <w:tcPr>
            <w:tcW w:w="617" w:type="dxa"/>
            <w:vMerge/>
            <w:tcBorders>
              <w:right w:val="single" w:sz="4" w:space="0" w:color="auto"/>
            </w:tcBorders>
          </w:tcPr>
          <w:p w:rsidR="00EA1ECF" w:rsidRPr="00A05BDC" w:rsidRDefault="00EA1ECF" w:rsidP="00F66497">
            <w:pPr>
              <w:jc w:val="center"/>
              <w:rPr>
                <w:rFonts w:cs="Times New Roman"/>
                <w:b/>
                <w:sz w:val="20"/>
                <w:szCs w:val="20"/>
              </w:rPr>
            </w:pPr>
          </w:p>
        </w:tc>
        <w:tc>
          <w:tcPr>
            <w:tcW w:w="1134" w:type="dxa"/>
            <w:vMerge/>
            <w:tcBorders>
              <w:left w:val="single" w:sz="4" w:space="0" w:color="auto"/>
            </w:tcBorders>
          </w:tcPr>
          <w:p w:rsidR="00EA1ECF" w:rsidRPr="00A05BDC" w:rsidRDefault="00EA1ECF" w:rsidP="00F66497">
            <w:pPr>
              <w:jc w:val="center"/>
              <w:rPr>
                <w:rFonts w:cs="Times New Roman"/>
                <w:b/>
                <w:sz w:val="20"/>
                <w:szCs w:val="20"/>
              </w:rPr>
            </w:pPr>
          </w:p>
        </w:tc>
        <w:tc>
          <w:tcPr>
            <w:tcW w:w="2784" w:type="dxa"/>
            <w:vMerge/>
          </w:tcPr>
          <w:p w:rsidR="00EA1ECF" w:rsidRPr="00A05BDC" w:rsidRDefault="00EA1ECF" w:rsidP="00F66497">
            <w:pPr>
              <w:jc w:val="center"/>
              <w:rPr>
                <w:rFonts w:cs="Times New Roman"/>
                <w:b/>
                <w:sz w:val="20"/>
                <w:szCs w:val="20"/>
              </w:rPr>
            </w:pPr>
          </w:p>
        </w:tc>
        <w:tc>
          <w:tcPr>
            <w:tcW w:w="1276" w:type="dxa"/>
            <w:vMerge/>
          </w:tcPr>
          <w:p w:rsidR="00EA1ECF" w:rsidRPr="00A05BDC" w:rsidRDefault="00EA1ECF" w:rsidP="00F66497">
            <w:pPr>
              <w:jc w:val="center"/>
              <w:rPr>
                <w:rFonts w:cs="Times New Roman"/>
                <w:b/>
                <w:sz w:val="20"/>
                <w:szCs w:val="20"/>
              </w:rPr>
            </w:pPr>
          </w:p>
        </w:tc>
        <w:tc>
          <w:tcPr>
            <w:tcW w:w="1250" w:type="dxa"/>
          </w:tcPr>
          <w:p w:rsidR="00EA1ECF" w:rsidRPr="00A05BDC" w:rsidRDefault="00EA1ECF" w:rsidP="00F66497">
            <w:pPr>
              <w:jc w:val="center"/>
              <w:rPr>
                <w:rFonts w:cs="Times New Roman"/>
                <w:b/>
                <w:sz w:val="20"/>
                <w:szCs w:val="20"/>
              </w:rPr>
            </w:pPr>
            <w:r w:rsidRPr="00A05BDC">
              <w:rPr>
                <w:rFonts w:cs="Times New Roman"/>
                <w:b/>
                <w:sz w:val="20"/>
                <w:szCs w:val="20"/>
              </w:rPr>
              <w:t>R$</w:t>
            </w:r>
          </w:p>
        </w:tc>
        <w:tc>
          <w:tcPr>
            <w:tcW w:w="1018" w:type="dxa"/>
          </w:tcPr>
          <w:p w:rsidR="00EA1ECF" w:rsidRPr="00A05BDC" w:rsidRDefault="00EA1ECF" w:rsidP="00F66497">
            <w:pPr>
              <w:jc w:val="center"/>
              <w:rPr>
                <w:rFonts w:cs="Times New Roman"/>
                <w:b/>
                <w:sz w:val="20"/>
                <w:szCs w:val="20"/>
              </w:rPr>
            </w:pPr>
            <w:r w:rsidRPr="00A05BDC">
              <w:rPr>
                <w:rFonts w:cs="Times New Roman"/>
                <w:b/>
                <w:sz w:val="20"/>
                <w:szCs w:val="20"/>
              </w:rPr>
              <w:t>R$</w:t>
            </w:r>
          </w:p>
        </w:tc>
        <w:tc>
          <w:tcPr>
            <w:tcW w:w="993" w:type="dxa"/>
          </w:tcPr>
          <w:p w:rsidR="00EA1ECF" w:rsidRPr="00A05BDC" w:rsidRDefault="00EA1ECF" w:rsidP="00F66497">
            <w:pPr>
              <w:jc w:val="center"/>
              <w:rPr>
                <w:rFonts w:cs="Times New Roman"/>
                <w:b/>
                <w:sz w:val="20"/>
                <w:szCs w:val="20"/>
              </w:rPr>
            </w:pPr>
            <w:r>
              <w:rPr>
                <w:rFonts w:cs="Times New Roman"/>
                <w:b/>
                <w:sz w:val="20"/>
                <w:szCs w:val="20"/>
              </w:rPr>
              <w:t>R$</w:t>
            </w:r>
          </w:p>
        </w:tc>
      </w:tr>
      <w:tr w:rsidR="00EA1ECF" w:rsidRPr="00A05BDC" w:rsidTr="00EA1ECF">
        <w:trPr>
          <w:jc w:val="center"/>
        </w:trPr>
        <w:tc>
          <w:tcPr>
            <w:tcW w:w="622" w:type="dxa"/>
            <w:vAlign w:val="center"/>
          </w:tcPr>
          <w:p w:rsidR="00EA1ECF" w:rsidRPr="00A05BDC" w:rsidRDefault="00EA1ECF" w:rsidP="00F66497">
            <w:pPr>
              <w:jc w:val="center"/>
              <w:rPr>
                <w:rFonts w:cs="Times New Roman"/>
                <w:sz w:val="20"/>
                <w:szCs w:val="20"/>
              </w:rPr>
            </w:pPr>
            <w:r>
              <w:rPr>
                <w:rFonts w:cs="Times New Roman"/>
                <w:sz w:val="20"/>
                <w:szCs w:val="20"/>
              </w:rPr>
              <w:t>01</w:t>
            </w:r>
          </w:p>
        </w:tc>
        <w:tc>
          <w:tcPr>
            <w:tcW w:w="617" w:type="dxa"/>
            <w:vAlign w:val="center"/>
          </w:tcPr>
          <w:p w:rsidR="00EA1ECF" w:rsidRPr="00A05BDC" w:rsidRDefault="00EA1ECF" w:rsidP="00736C76">
            <w:pPr>
              <w:jc w:val="center"/>
              <w:rPr>
                <w:rFonts w:cs="Times New Roman"/>
                <w:sz w:val="20"/>
                <w:szCs w:val="20"/>
              </w:rPr>
            </w:pPr>
            <w:r>
              <w:rPr>
                <w:rFonts w:cs="Times New Roman"/>
                <w:sz w:val="20"/>
                <w:szCs w:val="20"/>
              </w:rPr>
              <w:t>Litro</w:t>
            </w:r>
          </w:p>
        </w:tc>
        <w:tc>
          <w:tcPr>
            <w:tcW w:w="1134" w:type="dxa"/>
            <w:vAlign w:val="center"/>
          </w:tcPr>
          <w:p w:rsidR="00EA1ECF" w:rsidRPr="00A05BDC" w:rsidRDefault="00D01283" w:rsidP="004456C5">
            <w:pPr>
              <w:jc w:val="center"/>
              <w:rPr>
                <w:rFonts w:cs="Times New Roman"/>
                <w:sz w:val="20"/>
                <w:szCs w:val="20"/>
              </w:rPr>
            </w:pPr>
            <w:r>
              <w:rPr>
                <w:rFonts w:cs="Times New Roman"/>
                <w:sz w:val="20"/>
                <w:szCs w:val="20"/>
              </w:rPr>
              <w:t>66</w:t>
            </w:r>
            <w:r w:rsidR="00EA1ECF">
              <w:rPr>
                <w:rFonts w:cs="Times New Roman"/>
                <w:sz w:val="20"/>
                <w:szCs w:val="20"/>
              </w:rPr>
              <w:t>.000</w:t>
            </w:r>
          </w:p>
        </w:tc>
        <w:tc>
          <w:tcPr>
            <w:tcW w:w="2784" w:type="dxa"/>
          </w:tcPr>
          <w:p w:rsidR="00EA1ECF" w:rsidRPr="00F21F6D" w:rsidRDefault="00EA1ECF" w:rsidP="00736C76">
            <w:pPr>
              <w:rPr>
                <w:rFonts w:cs="Times New Roman"/>
                <w:sz w:val="20"/>
                <w:szCs w:val="20"/>
              </w:rPr>
            </w:pPr>
            <w:r>
              <w:rPr>
                <w:rFonts w:cs="Times New Roman"/>
                <w:sz w:val="20"/>
                <w:szCs w:val="20"/>
              </w:rPr>
              <w:t>Gasolina Comum</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Pr="00A05BDC" w:rsidRDefault="00EA1ECF" w:rsidP="00F66497">
            <w:pPr>
              <w:jc w:val="center"/>
              <w:rPr>
                <w:rFonts w:cs="Times New Roman"/>
                <w:sz w:val="20"/>
                <w:szCs w:val="20"/>
              </w:rPr>
            </w:pPr>
            <w:r>
              <w:rPr>
                <w:rFonts w:cs="Times New Roman"/>
                <w:sz w:val="20"/>
                <w:szCs w:val="20"/>
              </w:rPr>
              <w:t>02</w:t>
            </w:r>
          </w:p>
        </w:tc>
        <w:tc>
          <w:tcPr>
            <w:tcW w:w="617" w:type="dxa"/>
            <w:vAlign w:val="center"/>
          </w:tcPr>
          <w:p w:rsidR="00EA1ECF" w:rsidRPr="00A05BDC" w:rsidRDefault="00EA1ECF" w:rsidP="00736C76">
            <w:pPr>
              <w:jc w:val="center"/>
              <w:rPr>
                <w:rFonts w:cs="Times New Roman"/>
                <w:sz w:val="20"/>
                <w:szCs w:val="20"/>
              </w:rPr>
            </w:pPr>
            <w:r>
              <w:rPr>
                <w:rFonts w:cs="Times New Roman"/>
                <w:sz w:val="20"/>
                <w:szCs w:val="20"/>
              </w:rPr>
              <w:t>Litro</w:t>
            </w:r>
          </w:p>
        </w:tc>
        <w:tc>
          <w:tcPr>
            <w:tcW w:w="1134" w:type="dxa"/>
            <w:vAlign w:val="center"/>
          </w:tcPr>
          <w:p w:rsidR="00EA1ECF" w:rsidRPr="00A05BDC" w:rsidRDefault="00884DB9" w:rsidP="00D01283">
            <w:pPr>
              <w:jc w:val="center"/>
              <w:rPr>
                <w:rFonts w:cs="Times New Roman"/>
                <w:sz w:val="20"/>
                <w:szCs w:val="20"/>
              </w:rPr>
            </w:pPr>
            <w:r>
              <w:rPr>
                <w:rFonts w:cs="Times New Roman"/>
                <w:sz w:val="20"/>
                <w:szCs w:val="20"/>
              </w:rPr>
              <w:t>2</w:t>
            </w:r>
            <w:r w:rsidR="00D01283">
              <w:rPr>
                <w:rFonts w:cs="Times New Roman"/>
                <w:sz w:val="20"/>
                <w:szCs w:val="20"/>
              </w:rPr>
              <w:t>4</w:t>
            </w:r>
            <w:r>
              <w:rPr>
                <w:rFonts w:cs="Times New Roman"/>
                <w:sz w:val="20"/>
                <w:szCs w:val="20"/>
              </w:rPr>
              <w:t>.000</w:t>
            </w:r>
          </w:p>
        </w:tc>
        <w:tc>
          <w:tcPr>
            <w:tcW w:w="2784" w:type="dxa"/>
          </w:tcPr>
          <w:p w:rsidR="00EA1ECF" w:rsidRPr="00A05BDC" w:rsidRDefault="00EA1ECF" w:rsidP="00736C76">
            <w:pPr>
              <w:rPr>
                <w:rFonts w:cs="Times New Roman"/>
                <w:sz w:val="20"/>
                <w:szCs w:val="20"/>
              </w:rPr>
            </w:pPr>
            <w:r>
              <w:rPr>
                <w:rFonts w:eastAsia="Times New Roman" w:cs="Times New Roman"/>
                <w:sz w:val="20"/>
                <w:szCs w:val="20"/>
                <w:lang w:eastAsia="pt-BR"/>
              </w:rPr>
              <w:t>Óleo Diesel S10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03</w:t>
            </w:r>
          </w:p>
        </w:tc>
        <w:tc>
          <w:tcPr>
            <w:tcW w:w="617" w:type="dxa"/>
            <w:vAlign w:val="center"/>
          </w:tcPr>
          <w:p w:rsidR="00EA1ECF" w:rsidRPr="00A05BDC" w:rsidRDefault="00EA1ECF" w:rsidP="009D5462">
            <w:pPr>
              <w:jc w:val="center"/>
              <w:rPr>
                <w:rFonts w:cs="Times New Roman"/>
                <w:sz w:val="20"/>
                <w:szCs w:val="20"/>
              </w:rPr>
            </w:pPr>
            <w:r>
              <w:rPr>
                <w:rFonts w:cs="Times New Roman"/>
                <w:sz w:val="20"/>
                <w:szCs w:val="20"/>
              </w:rPr>
              <w:t>Litro</w:t>
            </w:r>
          </w:p>
        </w:tc>
        <w:tc>
          <w:tcPr>
            <w:tcW w:w="1134" w:type="dxa"/>
            <w:vAlign w:val="center"/>
          </w:tcPr>
          <w:p w:rsidR="00EA1ECF" w:rsidRDefault="00D01283" w:rsidP="00736C76">
            <w:pPr>
              <w:jc w:val="center"/>
              <w:rPr>
                <w:rFonts w:cs="Times New Roman"/>
                <w:sz w:val="20"/>
                <w:szCs w:val="20"/>
              </w:rPr>
            </w:pPr>
            <w:r>
              <w:rPr>
                <w:rFonts w:cs="Times New Roman"/>
                <w:sz w:val="20"/>
                <w:szCs w:val="20"/>
              </w:rPr>
              <w:t>6</w:t>
            </w:r>
            <w:r w:rsidR="00884DB9">
              <w:rPr>
                <w:rFonts w:cs="Times New Roman"/>
                <w:sz w:val="20"/>
                <w:szCs w:val="20"/>
              </w:rPr>
              <w:t>00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Arla para Diesel S10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04</w:t>
            </w:r>
          </w:p>
        </w:tc>
        <w:tc>
          <w:tcPr>
            <w:tcW w:w="617" w:type="dxa"/>
            <w:vAlign w:val="center"/>
          </w:tcPr>
          <w:p w:rsidR="00EA1ECF" w:rsidRPr="00A05BDC" w:rsidRDefault="00EA1ECF" w:rsidP="006B629E">
            <w:pPr>
              <w:jc w:val="center"/>
              <w:rPr>
                <w:rFonts w:cs="Times New Roman"/>
                <w:sz w:val="20"/>
                <w:szCs w:val="20"/>
              </w:rPr>
            </w:pPr>
            <w:r>
              <w:rPr>
                <w:rFonts w:cs="Times New Roman"/>
                <w:sz w:val="20"/>
                <w:szCs w:val="20"/>
              </w:rPr>
              <w:t>Litro</w:t>
            </w:r>
          </w:p>
        </w:tc>
        <w:tc>
          <w:tcPr>
            <w:tcW w:w="1134" w:type="dxa"/>
            <w:vAlign w:val="center"/>
          </w:tcPr>
          <w:p w:rsidR="00EA1ECF" w:rsidRDefault="00D01283" w:rsidP="004456C5">
            <w:pPr>
              <w:jc w:val="center"/>
              <w:rPr>
                <w:rFonts w:cs="Times New Roman"/>
                <w:sz w:val="20"/>
                <w:szCs w:val="20"/>
              </w:rPr>
            </w:pPr>
            <w:r>
              <w:rPr>
                <w:rFonts w:cs="Times New Roman"/>
                <w:sz w:val="20"/>
                <w:szCs w:val="20"/>
              </w:rPr>
              <w:t>91</w:t>
            </w:r>
            <w:r w:rsidR="00884DB9">
              <w:rPr>
                <w:rFonts w:cs="Times New Roman"/>
                <w:sz w:val="20"/>
                <w:szCs w:val="20"/>
              </w:rPr>
              <w:t>.000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Óleo Diesel S500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D01283" w:rsidRDefault="00D01283">
      <w:pPr>
        <w:rPr>
          <w:rFonts w:cs="Times New Roman"/>
          <w:szCs w:val="24"/>
        </w:rPr>
      </w:pPr>
    </w:p>
    <w:p w:rsidR="00D01283" w:rsidRDefault="00D01283">
      <w:pPr>
        <w:rPr>
          <w:rFonts w:cs="Times New Roman"/>
          <w:szCs w:val="24"/>
        </w:rPr>
      </w:pPr>
    </w:p>
    <w:p w:rsidR="00D01283" w:rsidRDefault="00D01283">
      <w:pPr>
        <w:rPr>
          <w:rFonts w:cs="Times New Roman"/>
          <w:szCs w:val="24"/>
        </w:rPr>
      </w:pPr>
    </w:p>
    <w:p w:rsidR="009A50F6" w:rsidRDefault="009A50F6">
      <w:pPr>
        <w:rPr>
          <w:rFonts w:cs="Times New Roman"/>
          <w:szCs w:val="24"/>
        </w:rPr>
      </w:pPr>
    </w:p>
    <w:p w:rsidR="00FF15CA" w:rsidRDefault="00FF15CA">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AO(À)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a presente.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8625D2">
        <w:rPr>
          <w:rFonts w:ascii="Times New Roman" w:hAnsi="Times New Roman" w:cs="Times New Roman"/>
        </w:rPr>
        <w:t>2021</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a presente.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8625D2">
        <w:rPr>
          <w:rFonts w:ascii="Times New Roman" w:hAnsi="Times New Roman" w:cs="Times New Roman"/>
          <w:color w:val="auto"/>
        </w:rPr>
        <w:t>2021</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a presente.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de </w:t>
      </w:r>
      <w:r w:rsidR="008625D2">
        <w:rPr>
          <w:rFonts w:ascii="Times New Roman" w:hAnsi="Times New Roman" w:cs="Times New Roman"/>
          <w:color w:val="auto"/>
        </w:rPr>
        <w:t>2021</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Nome completo, número de inscrição no Conselho Regional de Contabilidade e</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assinatura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VI</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a presente.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8625D2">
        <w:rPr>
          <w:rFonts w:ascii="Times New Roman" w:hAnsi="Times New Roman" w:cs="Times New Roman"/>
          <w:color w:val="auto"/>
        </w:rPr>
        <w:t>2021</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xml:space="preserve">– </w:t>
      </w:r>
      <w:r w:rsidR="004456C5">
        <w:rPr>
          <w:rFonts w:cs="Times New Roman"/>
          <w:b/>
          <w:bCs/>
          <w:szCs w:val="24"/>
        </w:rPr>
        <w:t>PREGÃO PRESENCIAL 0</w:t>
      </w:r>
      <w:r w:rsidR="00792544">
        <w:rPr>
          <w:rFonts w:cs="Times New Roman"/>
          <w:b/>
          <w:bCs/>
          <w:szCs w:val="24"/>
        </w:rPr>
        <w:t>0</w:t>
      </w:r>
      <w:r w:rsidR="004456C5">
        <w:rPr>
          <w:rFonts w:cs="Times New Roman"/>
          <w:b/>
          <w:bCs/>
          <w:szCs w:val="24"/>
        </w:rPr>
        <w:t>2/</w:t>
      </w:r>
      <w:r w:rsidR="008625D2">
        <w:rPr>
          <w:rFonts w:cs="Times New Roman"/>
          <w:b/>
          <w:bCs/>
          <w:szCs w:val="24"/>
        </w:rPr>
        <w:t>2021</w:t>
      </w:r>
      <w:r w:rsidR="004456C5">
        <w:rPr>
          <w:rFonts w:cs="Times New Roman"/>
          <w:b/>
          <w:bCs/>
          <w:szCs w:val="24"/>
        </w:rPr>
        <w:t xml:space="preserve"> -</w:t>
      </w:r>
      <w:r w:rsidRPr="00D6390D">
        <w:rPr>
          <w:rFonts w:cs="Times New Roman"/>
          <w:b/>
          <w:bCs/>
          <w:szCs w:val="24"/>
        </w:rPr>
        <w:t>MINUTA DE CONTRATO ADMINISTRATIVO</w:t>
      </w:r>
    </w:p>
    <w:p w:rsidR="00255D44" w:rsidRPr="00D6390D" w:rsidRDefault="007A3049" w:rsidP="00255D44">
      <w:pPr>
        <w:autoSpaceDE w:val="0"/>
        <w:autoSpaceDN w:val="0"/>
        <w:adjustRightInd w:val="0"/>
        <w:jc w:val="center"/>
        <w:rPr>
          <w:rFonts w:cs="Times New Roman"/>
          <w:b/>
          <w:bCs/>
          <w:szCs w:val="24"/>
        </w:rPr>
      </w:pPr>
      <w:r>
        <w:rPr>
          <w:rFonts w:cs="Times New Roman"/>
          <w:b/>
          <w:caps/>
          <w:szCs w:val="24"/>
        </w:rPr>
        <w:t>GASOLINA COMUM E ÓLEO DIESEL S10</w:t>
      </w:r>
      <w:r w:rsidR="004456C5">
        <w:rPr>
          <w:rFonts w:cs="Times New Roman"/>
          <w:b/>
          <w:caps/>
          <w:szCs w:val="24"/>
        </w:rPr>
        <w:t>/S500</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r w:rsidRPr="00D6390D">
        <w:rPr>
          <w:rFonts w:cs="Times New Roman"/>
          <w:szCs w:val="24"/>
        </w:rPr>
        <w:t xml:space="preserve">Aos ........ dias do mês de .............. do ano </w:t>
      </w:r>
      <w:r w:rsidR="00792544">
        <w:rPr>
          <w:rFonts w:cs="Times New Roman"/>
          <w:szCs w:val="24"/>
        </w:rPr>
        <w:t>dois mil e vinte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PINHEIRO MACHADO, RS, pessoa jurídica de d</w:t>
      </w:r>
      <w:r w:rsidR="00B05B8F">
        <w:rPr>
          <w:rFonts w:cs="Times New Roman"/>
          <w:szCs w:val="24"/>
        </w:rPr>
        <w:t>ireito interno, CNPJ nº 88.084.9</w:t>
      </w:r>
      <w:r w:rsidRPr="00D6390D">
        <w:rPr>
          <w:rFonts w:cs="Times New Roman"/>
          <w:szCs w:val="24"/>
        </w:rPr>
        <w:t xml:space="preserve">42/0001-46, com sede na rua Nico de Oliveira, 763, PINHEIRO MACHADO, RS, neste ato representado por </w:t>
      </w:r>
      <w:r w:rsidR="003420B0">
        <w:rPr>
          <w:rFonts w:cs="Times New Roman"/>
          <w:szCs w:val="24"/>
        </w:rPr>
        <w:t>seu Prefeito Municipal, Senhor Ronaldo Costa Madruga</w:t>
      </w:r>
      <w:r w:rsidRPr="00D6390D">
        <w:rPr>
          <w:rFonts w:cs="Times New Roman"/>
          <w:szCs w:val="24"/>
        </w:rPr>
        <w:t>, CPF nº.</w:t>
      </w:r>
      <w:r w:rsidR="003420B0">
        <w:rPr>
          <w:rFonts w:cs="Times New Roman"/>
          <w:szCs w:val="24"/>
        </w:rPr>
        <w:t xml:space="preserve"> 6</w:t>
      </w:r>
      <w:r w:rsidR="00B05B8F">
        <w:rPr>
          <w:rFonts w:cs="Times New Roman"/>
          <w:szCs w:val="24"/>
        </w:rPr>
        <w:t>97</w:t>
      </w:r>
      <w:r w:rsidR="003420B0">
        <w:rPr>
          <w:rFonts w:cs="Times New Roman"/>
          <w:szCs w:val="24"/>
        </w:rPr>
        <w:t>.988.</w:t>
      </w:r>
      <w:r w:rsidR="00B05B8F">
        <w:rPr>
          <w:rFonts w:cs="Times New Roman"/>
          <w:szCs w:val="24"/>
        </w:rPr>
        <w:t>690-8</w:t>
      </w:r>
      <w:r w:rsidR="003420B0">
        <w:rPr>
          <w:rFonts w:cs="Times New Roman"/>
          <w:szCs w:val="24"/>
        </w:rPr>
        <w:t>7</w:t>
      </w:r>
      <w:r w:rsidR="00792544">
        <w:rPr>
          <w:rFonts w:cs="Times New Roman"/>
          <w:szCs w:val="24"/>
        </w:rPr>
        <w:t>,</w:t>
      </w:r>
      <w:r w:rsidRPr="00D6390D">
        <w:rPr>
          <w:rFonts w:cs="Times New Roman"/>
          <w:szCs w:val="24"/>
        </w:rPr>
        <w:t xml:space="preserve"> ora denominado simplesmente CONTRATANTE, e de outro lado, a Empresa,..............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r w:rsidR="008C039B" w:rsidRPr="00D6390D">
        <w:rPr>
          <w:rFonts w:cs="Times New Roman"/>
          <w:szCs w:val="24"/>
        </w:rPr>
        <w:t>......................</w:t>
      </w:r>
      <w:r w:rsidRPr="00D6390D">
        <w:rPr>
          <w:rFonts w:cs="Times New Roman"/>
          <w:szCs w:val="24"/>
        </w:rPr>
        <w:t xml:space="preserve">..........., simplesmente CONTRATADO, resolvem firmar o presente CONTRATO ADMINISTRATIVO DE FORNECIMENTO DE </w:t>
      </w:r>
      <w:r w:rsidR="00D01283">
        <w:rPr>
          <w:rFonts w:cs="Times New Roman"/>
          <w:szCs w:val="24"/>
        </w:rPr>
        <w:t>COMBUSTÍVEIS</w:t>
      </w:r>
      <w:r w:rsidR="001D45E3">
        <w:rPr>
          <w:rFonts w:cs="Times New Roman"/>
          <w:szCs w:val="24"/>
        </w:rPr>
        <w:t xml:space="preserve"> </w:t>
      </w:r>
      <w:r w:rsidRPr="00D6390D">
        <w:rPr>
          <w:rFonts w:cs="Times New Roman"/>
          <w:szCs w:val="24"/>
        </w:rPr>
        <w:t xml:space="preserve">(nos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8625D2">
        <w:rPr>
          <w:rFonts w:cs="Times New Roman"/>
          <w:szCs w:val="24"/>
        </w:rPr>
        <w:t>002/2021</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Constitui objeto do presente contrato a aquisição, pelo CONTRATANTE, para utilização pel</w:t>
      </w:r>
      <w:r w:rsidR="007A3049">
        <w:rPr>
          <w:rFonts w:cs="Times New Roman"/>
          <w:szCs w:val="24"/>
        </w:rPr>
        <w:t>o Município de Pinheiro Machado</w:t>
      </w:r>
      <w:r w:rsidR="001D45E3">
        <w:rPr>
          <w:rFonts w:cs="Times New Roman"/>
          <w:szCs w:val="24"/>
        </w:rPr>
        <w:t>,</w:t>
      </w:r>
      <w:r w:rsidRPr="00D6390D">
        <w:rPr>
          <w:rFonts w:cs="Times New Roman"/>
          <w:szCs w:val="24"/>
        </w:rPr>
        <w:t xml:space="preserve"> </w:t>
      </w:r>
      <w:r w:rsidR="000F7444" w:rsidRPr="00D6390D">
        <w:rPr>
          <w:rFonts w:cs="Times New Roman"/>
          <w:szCs w:val="24"/>
        </w:rPr>
        <w:t xml:space="preserve">de </w:t>
      </w:r>
      <w:r w:rsidR="00792544">
        <w:rPr>
          <w:rFonts w:cs="Times New Roman"/>
          <w:szCs w:val="24"/>
        </w:rPr>
        <w:t>Combustíveis/Lubrificantes</w:t>
      </w:r>
      <w:r w:rsidRPr="00D6390D">
        <w:rPr>
          <w:rFonts w:cs="Times New Roman"/>
          <w:szCs w:val="24"/>
        </w:rPr>
        <w:t>,</w:t>
      </w:r>
      <w:r w:rsidR="005F559E">
        <w:rPr>
          <w:rFonts w:cs="Times New Roman"/>
          <w:szCs w:val="24"/>
        </w:rPr>
        <w:t xml:space="preserve"> </w:t>
      </w:r>
      <w:r w:rsidRPr="00D6390D">
        <w:rPr>
          <w:rFonts w:cs="Times New Roman"/>
          <w:szCs w:val="24"/>
        </w:rPr>
        <w:t>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(s) acima descrito(s) e identificado(s), considerados globalmente, é de R$ ......... (.................),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1D45E3" w:rsidRPr="0073616A" w:rsidRDefault="001D45E3" w:rsidP="001D45E3">
      <w:pPr>
        <w:pStyle w:val="Default"/>
        <w:ind w:firstLine="708"/>
        <w:rPr>
          <w:rFonts w:ascii="Times New Roman" w:hAnsi="Times New Roman" w:cs="Times New Roman"/>
          <w:b/>
          <w:color w:val="FF0000"/>
        </w:rPr>
      </w:pP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0200 – Gabinete do Prefeito.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2002 - Manutenção das atividades do Gabinete</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9595F" w:rsidRPr="0073616A" w:rsidRDefault="0079595F" w:rsidP="0079595F">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79595F" w:rsidRPr="0095422A" w:rsidRDefault="0079595F" w:rsidP="0079595F">
      <w:pPr>
        <w:pStyle w:val="Default"/>
        <w:rPr>
          <w:rFonts w:ascii="Times New Roman" w:hAnsi="Times New Roman" w:cs="Times New Roman"/>
          <w:color w:val="FF0000"/>
          <w:sz w:val="16"/>
          <w:szCs w:val="16"/>
        </w:rPr>
      </w:pP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2005 - Manutenção das atividades do Conselho tutelar</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9595F" w:rsidRPr="0073616A" w:rsidRDefault="0079595F" w:rsidP="0079595F">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79595F" w:rsidRPr="0095422A" w:rsidRDefault="0079595F" w:rsidP="0079595F">
      <w:pPr>
        <w:pStyle w:val="Default"/>
        <w:ind w:firstLine="708"/>
        <w:rPr>
          <w:rFonts w:ascii="Times New Roman" w:hAnsi="Times New Roman" w:cs="Times New Roman"/>
          <w:color w:val="FF0000"/>
        </w:rPr>
      </w:pP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79595F"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Estradas e Rodovias</w:t>
      </w:r>
    </w:p>
    <w:p w:rsidR="0079595F" w:rsidRPr="0073616A"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2010 – Manutenção das atividades da secretaria</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w:t>
      </w:r>
      <w:r>
        <w:rPr>
          <w:rFonts w:ascii="Times New Roman" w:hAnsi="Times New Roman" w:cs="Times New Roman"/>
          <w:color w:val="000000" w:themeColor="text1"/>
        </w:rPr>
        <w:t>spesa: 3302 - 2274</w:t>
      </w:r>
    </w:p>
    <w:p w:rsidR="0079595F" w:rsidRPr="0095422A" w:rsidRDefault="0079595F" w:rsidP="0079595F">
      <w:pPr>
        <w:pStyle w:val="Default"/>
        <w:rPr>
          <w:rFonts w:ascii="Times New Roman" w:hAnsi="Times New Roman" w:cs="Times New Roman"/>
          <w:color w:val="FF0000"/>
          <w:sz w:val="16"/>
          <w:szCs w:val="16"/>
        </w:rPr>
      </w:pPr>
    </w:p>
    <w:p w:rsidR="0079595F" w:rsidRPr="0095422A" w:rsidRDefault="0079595F" w:rsidP="0079595F">
      <w:pPr>
        <w:pStyle w:val="Default"/>
        <w:rPr>
          <w:rFonts w:ascii="Times New Roman" w:hAnsi="Times New Roman" w:cs="Times New Roman"/>
          <w:color w:val="FF0000"/>
          <w:sz w:val="16"/>
          <w:szCs w:val="16"/>
        </w:rPr>
      </w:pP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2016 – Atendimento ao transporte escolar - Manutenção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Pr>
          <w:rFonts w:ascii="Times New Roman" w:hAnsi="Times New Roman" w:cs="Times New Roman"/>
          <w:color w:val="000000" w:themeColor="text1"/>
        </w:rPr>
        <w:t>– Fundo Especial do Petróleo</w:t>
      </w:r>
      <w:r w:rsidRPr="0073616A">
        <w:rPr>
          <w:rFonts w:ascii="Times New Roman" w:hAnsi="Times New Roman" w:cs="Times New Roman"/>
          <w:color w:val="000000" w:themeColor="text1"/>
        </w:rPr>
        <w:t xml:space="preserve">  Fonte </w:t>
      </w:r>
      <w:r>
        <w:rPr>
          <w:rFonts w:ascii="Times New Roman" w:hAnsi="Times New Roman" w:cs="Times New Roman"/>
          <w:color w:val="000000" w:themeColor="text1"/>
        </w:rPr>
        <w:t>2021</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w:t>
      </w:r>
      <w:r>
        <w:rPr>
          <w:rFonts w:ascii="Times New Roman" w:hAnsi="Times New Roman" w:cs="Times New Roman"/>
          <w:color w:val="000000" w:themeColor="text1"/>
        </w:rPr>
        <w:t>43</w:t>
      </w:r>
      <w:r w:rsidRPr="0073616A">
        <w:rPr>
          <w:rFonts w:ascii="Times New Roman" w:hAnsi="Times New Roman" w:cs="Times New Roman"/>
          <w:color w:val="000000" w:themeColor="text1"/>
        </w:rPr>
        <w:t>6</w:t>
      </w:r>
    </w:p>
    <w:p w:rsidR="0079595F" w:rsidRPr="0073616A" w:rsidRDefault="0079595F" w:rsidP="0079595F">
      <w:pPr>
        <w:pStyle w:val="Default"/>
        <w:ind w:firstLine="708"/>
        <w:rPr>
          <w:rFonts w:ascii="Times New Roman" w:hAnsi="Times New Roman" w:cs="Times New Roman"/>
          <w:color w:val="000000" w:themeColor="text1"/>
        </w:rPr>
      </w:pP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 Secretaria Municipal de Educação, Cultura e Desporto.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2016 – Atendimento ao transporte escolar - Manutenção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Pr>
          <w:rFonts w:ascii="Times New Roman" w:hAnsi="Times New Roman" w:cs="Times New Roman"/>
          <w:color w:val="000000" w:themeColor="text1"/>
        </w:rPr>
        <w:t>Salário Educação</w:t>
      </w:r>
      <w:r w:rsidRPr="0073616A">
        <w:rPr>
          <w:rFonts w:ascii="Times New Roman" w:hAnsi="Times New Roman" w:cs="Times New Roman"/>
          <w:color w:val="000000" w:themeColor="text1"/>
        </w:rPr>
        <w:t xml:space="preserve">  Fonte 1070</w:t>
      </w:r>
      <w:r>
        <w:rPr>
          <w:rFonts w:ascii="Times New Roman" w:hAnsi="Times New Roman" w:cs="Times New Roman"/>
          <w:color w:val="000000" w:themeColor="text1"/>
        </w:rPr>
        <w:t xml:space="preserve">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lastRenderedPageBreak/>
        <w:t>3.3.90.30.01 – Combustíveis e Lubrificantes automotivos</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r>
        <w:rPr>
          <w:rFonts w:ascii="Times New Roman" w:hAnsi="Times New Roman" w:cs="Times New Roman"/>
          <w:color w:val="000000" w:themeColor="text1"/>
        </w:rPr>
        <w:t xml:space="preserve"> -2545</w:t>
      </w:r>
    </w:p>
    <w:p w:rsidR="0079595F" w:rsidRPr="0095422A" w:rsidRDefault="0079595F" w:rsidP="0079595F">
      <w:pPr>
        <w:pStyle w:val="Default"/>
        <w:ind w:firstLine="708"/>
        <w:rPr>
          <w:rFonts w:ascii="Times New Roman" w:hAnsi="Times New Roman" w:cs="Times New Roman"/>
          <w:color w:val="FF0000"/>
        </w:rPr>
      </w:pP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0700 - Secretaria Municipal de Agropecuária e Meio Ambiente.  </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2023 - Manutenção das atividades da Secretaria</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79595F" w:rsidRPr="0095422A" w:rsidRDefault="0079595F" w:rsidP="0079595F">
      <w:pPr>
        <w:pStyle w:val="Default"/>
        <w:rPr>
          <w:rFonts w:ascii="Times New Roman" w:hAnsi="Times New Roman" w:cs="Times New Roman"/>
          <w:color w:val="FF0000"/>
          <w:sz w:val="16"/>
          <w:szCs w:val="16"/>
        </w:rPr>
      </w:pP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79595F"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21</w:t>
      </w:r>
      <w:r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 da Saúde</w:t>
      </w:r>
    </w:p>
    <w:p w:rsidR="0079595F"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2035 – Qualificação da Saúde da Família</w:t>
      </w:r>
    </w:p>
    <w:p w:rsidR="0079595F"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2025 – Manutenção das Ativ. Da Secretaria de Saúde</w:t>
      </w:r>
    </w:p>
    <w:p w:rsidR="0079595F"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1137 – Vigilância em Saúde</w:t>
      </w:r>
    </w:p>
    <w:p w:rsidR="0079595F"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2153 – Atenção Domiciliar</w:t>
      </w:r>
    </w:p>
    <w:p w:rsidR="0079595F"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2141 – Qualificação do Serviço de Urgência e Emergência</w:t>
      </w:r>
    </w:p>
    <w:p w:rsidR="0079595F" w:rsidRPr="0073616A" w:rsidRDefault="0079595F" w:rsidP="0079595F">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2071 – Saúde da População SAI/SUS</w:t>
      </w:r>
    </w:p>
    <w:p w:rsidR="0079595F" w:rsidRPr="0073616A" w:rsidRDefault="0079595F" w:rsidP="0079595F">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9595F" w:rsidRPr="008C0226" w:rsidRDefault="0079595F" w:rsidP="0079595F">
      <w:pPr>
        <w:pStyle w:val="Default"/>
        <w:ind w:firstLine="708"/>
        <w:rPr>
          <w:rFonts w:ascii="Times New Roman" w:hAnsi="Times New Roman" w:cs="Times New Roman"/>
          <w:color w:val="000000" w:themeColor="text1"/>
        </w:rPr>
      </w:pPr>
      <w:r w:rsidRPr="008C0226">
        <w:rPr>
          <w:rFonts w:ascii="Times New Roman" w:hAnsi="Times New Roman" w:cs="Times New Roman"/>
          <w:color w:val="000000" w:themeColor="text1"/>
        </w:rPr>
        <w:t>Despesa: 4801- 4563 – 3752- 3715- 2674-3751- 3911 - 4324 – 4501- 3750</w:t>
      </w:r>
    </w:p>
    <w:p w:rsidR="0079595F" w:rsidRPr="008C0226" w:rsidRDefault="0079595F" w:rsidP="0079595F">
      <w:pPr>
        <w:pStyle w:val="Default"/>
        <w:ind w:left="708"/>
        <w:rPr>
          <w:rFonts w:ascii="Times New Roman" w:hAnsi="Times New Roman" w:cs="Times New Roman"/>
        </w:rPr>
      </w:pPr>
      <w:r w:rsidRPr="008C0226">
        <w:rPr>
          <w:rFonts w:ascii="Times New Roman" w:hAnsi="Times New Roman" w:cs="Times New Roman"/>
          <w:color w:val="000000" w:themeColor="text1"/>
        </w:rPr>
        <w:t xml:space="preserve">Fonte de Recurso –4500 PMAQ – 4011 PIES – 4090 ESF ESTAD.- 4500 ESF FED.- 40 ASPS – 4502 Teto Financeiro - Vigilância em Saúde – 4501 EMAD – 4501 SAMU Federal – 4501Média - Alta Complexidade – 4220 Centro de atenção Psicossocial – </w:t>
      </w:r>
    </w:p>
    <w:p w:rsidR="0079595F" w:rsidRPr="008C0226" w:rsidRDefault="0079595F" w:rsidP="0079595F">
      <w:pPr>
        <w:ind w:firstLine="708"/>
        <w:rPr>
          <w:rFonts w:cs="Times New Roman"/>
        </w:rPr>
      </w:pPr>
      <w:r w:rsidRPr="008C0226">
        <w:rPr>
          <w:rFonts w:cs="Times New Roman"/>
        </w:rPr>
        <w:t xml:space="preserve">Fonte de Recurso : </w:t>
      </w:r>
      <w:r w:rsidRPr="008C0226">
        <w:rPr>
          <w:rFonts w:cs="Times New Roman"/>
        </w:rPr>
        <w:tab/>
        <w:t>4511- Custeio – outros programas financiados</w:t>
      </w:r>
    </w:p>
    <w:p w:rsidR="0073616A" w:rsidRDefault="0079595F" w:rsidP="0079595F">
      <w:pPr>
        <w:pStyle w:val="Default"/>
        <w:rPr>
          <w:rFonts w:ascii="Times New Roman" w:hAnsi="Times New Roman" w:cs="Times New Roman"/>
        </w:rPr>
      </w:pPr>
      <w:r w:rsidRPr="008C0226">
        <w:rPr>
          <w:rFonts w:ascii="Times New Roman" w:hAnsi="Times New Roman" w:cs="Times New Roman"/>
        </w:rPr>
        <w:t>Transferências fundo a fundo – portaria 1.666/MS</w:t>
      </w:r>
    </w:p>
    <w:p w:rsidR="0079595F" w:rsidRPr="0095422A" w:rsidRDefault="0079595F" w:rsidP="0079595F">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 pagamento será efetuado sem reajuste, contra nota de empenho, 30 (trinta) dias após a apresentação da Nota Fiscal e atestado de recebimento,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CB3495">
        <w:rPr>
          <w:rFonts w:cs="Times New Roman"/>
          <w:szCs w:val="24"/>
        </w:rPr>
        <w:t>Administração Municipal</w:t>
      </w:r>
      <w:r w:rsidRPr="00D6390D">
        <w:rPr>
          <w:rFonts w:cs="Times New Roman"/>
          <w:szCs w:val="24"/>
        </w:rPr>
        <w:t>,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CB3495" w:rsidRDefault="004C43B3" w:rsidP="00CB3495">
      <w:pPr>
        <w:autoSpaceDE w:val="0"/>
        <w:autoSpaceDN w:val="0"/>
        <w:adjustRightInd w:val="0"/>
        <w:jc w:val="both"/>
        <w:rPr>
          <w:rFonts w:eastAsia="Times New Roman" w:cs="Times New Roman"/>
          <w:szCs w:val="24"/>
          <w:lang w:eastAsia="pt-BR"/>
        </w:rPr>
      </w:pPr>
      <w:r>
        <w:rPr>
          <w:rFonts w:eastAsia="Times New Roman" w:cs="Times New Roman"/>
          <w:szCs w:val="24"/>
          <w:lang w:eastAsia="pt-BR"/>
        </w:rPr>
        <w:t>Os combustíveis</w:t>
      </w:r>
      <w:r w:rsidR="00CB3495" w:rsidRPr="00963430">
        <w:rPr>
          <w:rFonts w:eastAsia="Times New Roman" w:cs="Times New Roman"/>
          <w:szCs w:val="24"/>
          <w:lang w:eastAsia="pt-BR"/>
        </w:rPr>
        <w:t>,</w:t>
      </w:r>
      <w:r w:rsidR="00CB3495">
        <w:rPr>
          <w:rFonts w:eastAsia="Times New Roman" w:cs="Times New Roman"/>
          <w:szCs w:val="24"/>
          <w:lang w:eastAsia="pt-BR"/>
        </w:rPr>
        <w:t xml:space="preserve"> </w:t>
      </w:r>
      <w:r w:rsidR="00CB3495" w:rsidRPr="00963430">
        <w:rPr>
          <w:rFonts w:eastAsia="Times New Roman" w:cs="Times New Roman"/>
          <w:szCs w:val="24"/>
          <w:lang w:eastAsia="pt-BR"/>
        </w:rPr>
        <w:t>deverão ser fornecidos e disponibilizados através de abastecimento individual por veículo, direto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bomba, em ponto(s) devido(s) e legalmente licenciado(s) de venda a varejo, à disposição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administração, sem quaisquer custos adicionais, num</w:t>
      </w:r>
      <w:r w:rsidR="00CB3495">
        <w:rPr>
          <w:rFonts w:eastAsia="Times New Roman" w:cs="Times New Roman"/>
          <w:szCs w:val="24"/>
          <w:lang w:eastAsia="pt-BR"/>
        </w:rPr>
        <w:t xml:space="preserve"> </w:t>
      </w:r>
      <w:r w:rsidR="00CB3495" w:rsidRPr="00963430">
        <w:rPr>
          <w:rFonts w:eastAsia="Times New Roman" w:cs="Times New Roman"/>
          <w:szCs w:val="24"/>
          <w:lang w:eastAsia="pt-BR"/>
        </w:rPr>
        <w:t>prazo não superior a 02 (dois) dias da assinatura do contrato, e mediante ordem de fornecimento segundo necessidades do Município</w:t>
      </w:r>
      <w:r w:rsidR="00CB3495">
        <w:rPr>
          <w:rFonts w:eastAsia="Times New Roman" w:cs="Times New Roman"/>
          <w:szCs w:val="24"/>
          <w:lang w:eastAsia="pt-BR"/>
        </w:rPr>
        <w:t>, enquanto houver</w:t>
      </w:r>
      <w:r w:rsidR="0003368D">
        <w:rPr>
          <w:rFonts w:eastAsia="Times New Roman" w:cs="Times New Roman"/>
          <w:szCs w:val="24"/>
          <w:lang w:eastAsia="pt-BR"/>
        </w:rPr>
        <w:t xml:space="preserve"> saldo.</w:t>
      </w:r>
    </w:p>
    <w:p w:rsidR="00CB3495" w:rsidRDefault="00CB3495" w:rsidP="00CB3495">
      <w:pPr>
        <w:autoSpaceDE w:val="0"/>
        <w:autoSpaceDN w:val="0"/>
        <w:adjustRightInd w:val="0"/>
        <w:jc w:val="both"/>
        <w:rPr>
          <w:rFonts w:eastAsia="Times New Roman" w:cs="Times New Roman"/>
          <w:szCs w:val="24"/>
          <w:lang w:eastAsia="pt-BR"/>
        </w:rPr>
      </w:pPr>
    </w:p>
    <w:p w:rsidR="00255D44" w:rsidRPr="00D6390D" w:rsidRDefault="00255D44" w:rsidP="00CB3495">
      <w:pPr>
        <w:autoSpaceDE w:val="0"/>
        <w:autoSpaceDN w:val="0"/>
        <w:adjustRightInd w:val="0"/>
        <w:jc w:val="both"/>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da CONTRATANTE: receber o objeto deste contrato nas condições </w:t>
      </w:r>
      <w:r w:rsidR="005F559E">
        <w:rPr>
          <w:rFonts w:cs="Times New Roman"/>
          <w:szCs w:val="24"/>
        </w:rPr>
        <w:t>el</w:t>
      </w:r>
      <w:r w:rsidRPr="00D6390D">
        <w:rPr>
          <w:rFonts w:cs="Times New Roman"/>
          <w:szCs w:val="24"/>
        </w:rPr>
        <w:t>encadas;</w:t>
      </w:r>
    </w:p>
    <w:p w:rsidR="00255D44" w:rsidRPr="00D6390D" w:rsidRDefault="00255D44" w:rsidP="00255D44">
      <w:pPr>
        <w:autoSpaceDE w:val="0"/>
        <w:autoSpaceDN w:val="0"/>
        <w:adjustRightInd w:val="0"/>
        <w:rPr>
          <w:rFonts w:cs="Times New Roman"/>
          <w:szCs w:val="24"/>
        </w:rPr>
      </w:pPr>
      <w:r w:rsidRPr="00D6390D">
        <w:rPr>
          <w:rFonts w:cs="Times New Roman"/>
          <w:szCs w:val="24"/>
        </w:rPr>
        <w:t>1.2. do CONTRATADO:</w:t>
      </w:r>
      <w:r w:rsidR="0003368D">
        <w:rPr>
          <w:rFonts w:cs="Times New Roman"/>
          <w:szCs w:val="24"/>
        </w:rPr>
        <w:t xml:space="preserve"> </w:t>
      </w:r>
      <w:r w:rsidRPr="00D6390D">
        <w:rPr>
          <w:rFonts w:cs="Times New Roman"/>
          <w:szCs w:val="24"/>
        </w:rPr>
        <w:t>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2.1.1. entregar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Este contrato poderá ser rescindido de acordo com o artigo 79 da,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MULTA: no atraso ou negligência na entrega do objeto adquirido, será aplicada multa de 2% (dois por cento) sobre o valor total do contrato pactuado, limitada a 5 (cinco) dias;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após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 xml:space="preserve">produtos </w:t>
      </w:r>
      <w:r w:rsidRPr="00D6390D">
        <w:rPr>
          <w:rFonts w:cs="Times New Roman"/>
          <w:szCs w:val="24"/>
        </w:rPr>
        <w:t xml:space="preserve"> 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8625D2">
        <w:rPr>
          <w:rFonts w:cs="Times New Roman"/>
          <w:szCs w:val="24"/>
        </w:rPr>
        <w:t>002/2021</w:t>
      </w:r>
      <w:r w:rsidRPr="00D6390D">
        <w:rPr>
          <w:rFonts w:cs="Times New Roman"/>
          <w:szCs w:val="24"/>
        </w:rPr>
        <w:t>, obedecendo a Lei Federal nº. 8.666/93, e mantidas as condições da proposta inicial, até o limite de 25% (vinte e cinco por cento) para mais ou para menos, ao que está obrigado a aceitar o CONTRATADO sob pena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dirimir dúvidas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E, por estarem as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 xml:space="preserve">Município de PINHEIRO MACHADO, RS, ............... de................. </w:t>
      </w:r>
      <w:r w:rsidR="008625D2">
        <w:rPr>
          <w:rFonts w:cs="Times New Roman"/>
          <w:szCs w:val="24"/>
        </w:rPr>
        <w:t>2021</w:t>
      </w:r>
      <w:r w:rsidRPr="00D6390D">
        <w:rPr>
          <w:rFonts w:cs="Times New Roman"/>
          <w:szCs w:val="24"/>
        </w:rPr>
        <w:t>.</w:t>
      </w:r>
    </w:p>
    <w:p w:rsidR="00255D44" w:rsidRDefault="00255D44"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CE45EB" w:rsidP="005F559E">
            <w:pPr>
              <w:autoSpaceDE w:val="0"/>
              <w:autoSpaceDN w:val="0"/>
              <w:adjustRightInd w:val="0"/>
              <w:jc w:val="center"/>
              <w:rPr>
                <w:rFonts w:cs="Times New Roman"/>
                <w:szCs w:val="24"/>
              </w:rPr>
            </w:pPr>
            <w:r>
              <w:rPr>
                <w:rFonts w:cs="Times New Roman"/>
                <w:szCs w:val="24"/>
              </w:rPr>
              <w:t>RONALDO COSTA MADRUGA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E551BD">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3B" w:rsidRDefault="0044163B" w:rsidP="00BB12E8">
      <w:r>
        <w:separator/>
      </w:r>
    </w:p>
  </w:endnote>
  <w:endnote w:type="continuationSeparator" w:id="0">
    <w:p w:rsidR="0044163B" w:rsidRDefault="0044163B"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280528"/>
      <w:docPartObj>
        <w:docPartGallery w:val="Page Numbers (Bottom of Page)"/>
        <w:docPartUnique/>
      </w:docPartObj>
    </w:sdtPr>
    <w:sdtEndPr/>
    <w:sdtContent>
      <w:p w:rsidR="00DB1E28" w:rsidRDefault="00DB1E28">
        <w:pPr>
          <w:pStyle w:val="Rodap"/>
          <w:jc w:val="right"/>
        </w:pPr>
        <w:r>
          <w:fldChar w:fldCharType="begin"/>
        </w:r>
        <w:r>
          <w:instrText>PAGE   \* MERGEFORMAT</w:instrText>
        </w:r>
        <w:r>
          <w:fldChar w:fldCharType="separate"/>
        </w:r>
        <w:r w:rsidR="00B22F65">
          <w:rPr>
            <w:noProof/>
          </w:rPr>
          <w:t>1</w:t>
        </w:r>
        <w:r>
          <w:rPr>
            <w:noProof/>
          </w:rPr>
          <w:fldChar w:fldCharType="end"/>
        </w:r>
      </w:p>
    </w:sdtContent>
  </w:sdt>
  <w:p w:rsidR="00DB1E28" w:rsidRDefault="00DB1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3B" w:rsidRDefault="0044163B" w:rsidP="00BB12E8">
      <w:r>
        <w:separator/>
      </w:r>
    </w:p>
  </w:footnote>
  <w:footnote w:type="continuationSeparator" w:id="0">
    <w:p w:rsidR="0044163B" w:rsidRDefault="0044163B" w:rsidP="00BB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28" w:rsidRPr="008F4B86" w:rsidRDefault="00DB1E28"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B1E28" w:rsidRPr="008F4B86" w:rsidRDefault="00DB1E28"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B1E28" w:rsidRPr="00713D92" w:rsidRDefault="00DB1E28"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B1E28" w:rsidRPr="00713D92" w:rsidRDefault="00DB1E28" w:rsidP="000A5F44">
    <w:pPr>
      <w:pStyle w:val="Cabealho"/>
      <w:pBdr>
        <w:bottom w:val="single" w:sz="12" w:space="1" w:color="auto"/>
      </w:pBdr>
      <w:tabs>
        <w:tab w:val="clear" w:pos="4252"/>
        <w:tab w:val="clear" w:pos="8504"/>
      </w:tabs>
      <w:jc w:val="center"/>
      <w:rPr>
        <w:rFonts w:ascii="Arial" w:hAnsi="Arial" w:cs="Arial"/>
        <w:bCs/>
        <w:sz w:val="12"/>
        <w:szCs w:val="12"/>
      </w:rPr>
    </w:pPr>
  </w:p>
  <w:p w:rsidR="00DB1E28" w:rsidRPr="000A5F44" w:rsidRDefault="00DB1E28" w:rsidP="000A5F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176A"/>
    <w:rsid w:val="00013552"/>
    <w:rsid w:val="00017C4E"/>
    <w:rsid w:val="00031278"/>
    <w:rsid w:val="0003368D"/>
    <w:rsid w:val="000343A1"/>
    <w:rsid w:val="00041A82"/>
    <w:rsid w:val="0005304C"/>
    <w:rsid w:val="00056B28"/>
    <w:rsid w:val="00066707"/>
    <w:rsid w:val="000728CB"/>
    <w:rsid w:val="00074BB7"/>
    <w:rsid w:val="00076C7B"/>
    <w:rsid w:val="00077128"/>
    <w:rsid w:val="0008294B"/>
    <w:rsid w:val="00091E16"/>
    <w:rsid w:val="00094D43"/>
    <w:rsid w:val="0009643E"/>
    <w:rsid w:val="000A044E"/>
    <w:rsid w:val="000A1BE8"/>
    <w:rsid w:val="000A5664"/>
    <w:rsid w:val="000A5F44"/>
    <w:rsid w:val="000C7DC2"/>
    <w:rsid w:val="000D1656"/>
    <w:rsid w:val="000D1E38"/>
    <w:rsid w:val="000D5EBA"/>
    <w:rsid w:val="000D6294"/>
    <w:rsid w:val="000E556A"/>
    <w:rsid w:val="000E5B5F"/>
    <w:rsid w:val="000F7444"/>
    <w:rsid w:val="001026F4"/>
    <w:rsid w:val="001027A7"/>
    <w:rsid w:val="00153B41"/>
    <w:rsid w:val="001677D9"/>
    <w:rsid w:val="0017392E"/>
    <w:rsid w:val="00175F67"/>
    <w:rsid w:val="001A6A84"/>
    <w:rsid w:val="001A6D5A"/>
    <w:rsid w:val="001A7B2E"/>
    <w:rsid w:val="001B0CB1"/>
    <w:rsid w:val="001D45E3"/>
    <w:rsid w:val="001E030F"/>
    <w:rsid w:val="001F196B"/>
    <w:rsid w:val="00204AA4"/>
    <w:rsid w:val="00216116"/>
    <w:rsid w:val="002178CF"/>
    <w:rsid w:val="00217B20"/>
    <w:rsid w:val="00230D7F"/>
    <w:rsid w:val="00233521"/>
    <w:rsid w:val="00255D44"/>
    <w:rsid w:val="00265682"/>
    <w:rsid w:val="00267F8D"/>
    <w:rsid w:val="00280611"/>
    <w:rsid w:val="00283F68"/>
    <w:rsid w:val="00284A8C"/>
    <w:rsid w:val="00285C07"/>
    <w:rsid w:val="00287905"/>
    <w:rsid w:val="002913E2"/>
    <w:rsid w:val="00291E9C"/>
    <w:rsid w:val="002A1A9A"/>
    <w:rsid w:val="002C513F"/>
    <w:rsid w:val="002C7AFF"/>
    <w:rsid w:val="002E0889"/>
    <w:rsid w:val="002E4AA3"/>
    <w:rsid w:val="002E54B9"/>
    <w:rsid w:val="002F3678"/>
    <w:rsid w:val="002F69D7"/>
    <w:rsid w:val="00301E7D"/>
    <w:rsid w:val="003144C7"/>
    <w:rsid w:val="00317AB2"/>
    <w:rsid w:val="00322A8E"/>
    <w:rsid w:val="003255ED"/>
    <w:rsid w:val="003418E4"/>
    <w:rsid w:val="003420B0"/>
    <w:rsid w:val="00345C3C"/>
    <w:rsid w:val="00345F02"/>
    <w:rsid w:val="003504E9"/>
    <w:rsid w:val="003514DE"/>
    <w:rsid w:val="003545C8"/>
    <w:rsid w:val="00366EC7"/>
    <w:rsid w:val="003717A0"/>
    <w:rsid w:val="003778D7"/>
    <w:rsid w:val="003919F7"/>
    <w:rsid w:val="00393FE2"/>
    <w:rsid w:val="003C164F"/>
    <w:rsid w:val="003D30E4"/>
    <w:rsid w:val="003E2763"/>
    <w:rsid w:val="003F0CD3"/>
    <w:rsid w:val="003F2414"/>
    <w:rsid w:val="003F55B2"/>
    <w:rsid w:val="0040530E"/>
    <w:rsid w:val="00415911"/>
    <w:rsid w:val="00420C54"/>
    <w:rsid w:val="00425CF2"/>
    <w:rsid w:val="00435AF8"/>
    <w:rsid w:val="004364EA"/>
    <w:rsid w:val="0044163B"/>
    <w:rsid w:val="004449C4"/>
    <w:rsid w:val="00444F43"/>
    <w:rsid w:val="004456C5"/>
    <w:rsid w:val="004510A2"/>
    <w:rsid w:val="004609E3"/>
    <w:rsid w:val="00472830"/>
    <w:rsid w:val="00472835"/>
    <w:rsid w:val="004972FF"/>
    <w:rsid w:val="004A1402"/>
    <w:rsid w:val="004A6CF0"/>
    <w:rsid w:val="004B1B27"/>
    <w:rsid w:val="004C048C"/>
    <w:rsid w:val="004C43B3"/>
    <w:rsid w:val="004D6FB3"/>
    <w:rsid w:val="004E33C4"/>
    <w:rsid w:val="004E5368"/>
    <w:rsid w:val="004E5AE8"/>
    <w:rsid w:val="004F0BFD"/>
    <w:rsid w:val="004F2EAE"/>
    <w:rsid w:val="00511EB1"/>
    <w:rsid w:val="00517AC9"/>
    <w:rsid w:val="00524440"/>
    <w:rsid w:val="005250D7"/>
    <w:rsid w:val="0053333A"/>
    <w:rsid w:val="00550188"/>
    <w:rsid w:val="005514C6"/>
    <w:rsid w:val="005534AC"/>
    <w:rsid w:val="0055384C"/>
    <w:rsid w:val="00590FDD"/>
    <w:rsid w:val="005A062D"/>
    <w:rsid w:val="005A67E5"/>
    <w:rsid w:val="005B0567"/>
    <w:rsid w:val="005C1FCA"/>
    <w:rsid w:val="005C2B9E"/>
    <w:rsid w:val="005E0586"/>
    <w:rsid w:val="005E3971"/>
    <w:rsid w:val="005E47F8"/>
    <w:rsid w:val="005F2548"/>
    <w:rsid w:val="005F559E"/>
    <w:rsid w:val="00616F90"/>
    <w:rsid w:val="00664195"/>
    <w:rsid w:val="00664522"/>
    <w:rsid w:val="006647A0"/>
    <w:rsid w:val="00664E83"/>
    <w:rsid w:val="0067704B"/>
    <w:rsid w:val="00677FB6"/>
    <w:rsid w:val="00680666"/>
    <w:rsid w:val="0069071F"/>
    <w:rsid w:val="00694A40"/>
    <w:rsid w:val="00697D72"/>
    <w:rsid w:val="006A337B"/>
    <w:rsid w:val="006A3D14"/>
    <w:rsid w:val="006B4A60"/>
    <w:rsid w:val="006B629E"/>
    <w:rsid w:val="006C4904"/>
    <w:rsid w:val="006C6015"/>
    <w:rsid w:val="006C76E9"/>
    <w:rsid w:val="006C7A96"/>
    <w:rsid w:val="006E1895"/>
    <w:rsid w:val="006E2275"/>
    <w:rsid w:val="006E4737"/>
    <w:rsid w:val="006F043C"/>
    <w:rsid w:val="007136E6"/>
    <w:rsid w:val="00726C2B"/>
    <w:rsid w:val="00730CBB"/>
    <w:rsid w:val="00732B1E"/>
    <w:rsid w:val="0073616A"/>
    <w:rsid w:val="00736883"/>
    <w:rsid w:val="00736C76"/>
    <w:rsid w:val="0075519A"/>
    <w:rsid w:val="0075705C"/>
    <w:rsid w:val="0076548B"/>
    <w:rsid w:val="007803A7"/>
    <w:rsid w:val="00792544"/>
    <w:rsid w:val="0079595F"/>
    <w:rsid w:val="007A1330"/>
    <w:rsid w:val="007A3049"/>
    <w:rsid w:val="007A54F8"/>
    <w:rsid w:val="007C286B"/>
    <w:rsid w:val="007D0402"/>
    <w:rsid w:val="007D0581"/>
    <w:rsid w:val="008009E0"/>
    <w:rsid w:val="00804037"/>
    <w:rsid w:val="00804F50"/>
    <w:rsid w:val="00840FF1"/>
    <w:rsid w:val="008415B2"/>
    <w:rsid w:val="008440D2"/>
    <w:rsid w:val="008444EB"/>
    <w:rsid w:val="00850AD0"/>
    <w:rsid w:val="0085252C"/>
    <w:rsid w:val="008625D2"/>
    <w:rsid w:val="008774CB"/>
    <w:rsid w:val="00884DB9"/>
    <w:rsid w:val="008B3493"/>
    <w:rsid w:val="008C0226"/>
    <w:rsid w:val="008C039B"/>
    <w:rsid w:val="008F4936"/>
    <w:rsid w:val="00901013"/>
    <w:rsid w:val="00904645"/>
    <w:rsid w:val="00914CEB"/>
    <w:rsid w:val="009215FC"/>
    <w:rsid w:val="00926E89"/>
    <w:rsid w:val="009275C0"/>
    <w:rsid w:val="00931FF6"/>
    <w:rsid w:val="00934E50"/>
    <w:rsid w:val="009432A5"/>
    <w:rsid w:val="00943F6D"/>
    <w:rsid w:val="00947BE2"/>
    <w:rsid w:val="00950488"/>
    <w:rsid w:val="0095422A"/>
    <w:rsid w:val="00956A8B"/>
    <w:rsid w:val="00963430"/>
    <w:rsid w:val="0096759C"/>
    <w:rsid w:val="009717E4"/>
    <w:rsid w:val="0098320A"/>
    <w:rsid w:val="00987725"/>
    <w:rsid w:val="009922C2"/>
    <w:rsid w:val="009A1358"/>
    <w:rsid w:val="009A50F6"/>
    <w:rsid w:val="009C1FE5"/>
    <w:rsid w:val="009D08A0"/>
    <w:rsid w:val="009D0E87"/>
    <w:rsid w:val="009D16E9"/>
    <w:rsid w:val="009D5462"/>
    <w:rsid w:val="009D6EBC"/>
    <w:rsid w:val="009D6EF1"/>
    <w:rsid w:val="009F3A73"/>
    <w:rsid w:val="00A0304A"/>
    <w:rsid w:val="00A05BDC"/>
    <w:rsid w:val="00A05F47"/>
    <w:rsid w:val="00A258CD"/>
    <w:rsid w:val="00A354D3"/>
    <w:rsid w:val="00A51908"/>
    <w:rsid w:val="00A747D4"/>
    <w:rsid w:val="00A753AF"/>
    <w:rsid w:val="00A8693A"/>
    <w:rsid w:val="00A97BF3"/>
    <w:rsid w:val="00AA2CBA"/>
    <w:rsid w:val="00AA3CF3"/>
    <w:rsid w:val="00AC1534"/>
    <w:rsid w:val="00AC4283"/>
    <w:rsid w:val="00AC5C26"/>
    <w:rsid w:val="00AE021B"/>
    <w:rsid w:val="00AE05F8"/>
    <w:rsid w:val="00AE398B"/>
    <w:rsid w:val="00AE6F6B"/>
    <w:rsid w:val="00AF43CE"/>
    <w:rsid w:val="00B05B8F"/>
    <w:rsid w:val="00B06BF2"/>
    <w:rsid w:val="00B22F65"/>
    <w:rsid w:val="00B3181A"/>
    <w:rsid w:val="00B41AD6"/>
    <w:rsid w:val="00B421C3"/>
    <w:rsid w:val="00B45737"/>
    <w:rsid w:val="00B60D52"/>
    <w:rsid w:val="00B67BE1"/>
    <w:rsid w:val="00B70919"/>
    <w:rsid w:val="00B71722"/>
    <w:rsid w:val="00B732F2"/>
    <w:rsid w:val="00B818CD"/>
    <w:rsid w:val="00B81E20"/>
    <w:rsid w:val="00B86704"/>
    <w:rsid w:val="00B93DD2"/>
    <w:rsid w:val="00BA22F3"/>
    <w:rsid w:val="00BA361F"/>
    <w:rsid w:val="00BB12E8"/>
    <w:rsid w:val="00BB5682"/>
    <w:rsid w:val="00BD216F"/>
    <w:rsid w:val="00C26FA4"/>
    <w:rsid w:val="00C361B2"/>
    <w:rsid w:val="00C5139F"/>
    <w:rsid w:val="00C71CD6"/>
    <w:rsid w:val="00C75F0F"/>
    <w:rsid w:val="00C8229D"/>
    <w:rsid w:val="00C867B0"/>
    <w:rsid w:val="00CB3495"/>
    <w:rsid w:val="00CC22BC"/>
    <w:rsid w:val="00CC54B4"/>
    <w:rsid w:val="00CD5964"/>
    <w:rsid w:val="00CE45EB"/>
    <w:rsid w:val="00D01283"/>
    <w:rsid w:val="00D04D03"/>
    <w:rsid w:val="00D141F6"/>
    <w:rsid w:val="00D17EFC"/>
    <w:rsid w:val="00D3625C"/>
    <w:rsid w:val="00D41DC8"/>
    <w:rsid w:val="00D60482"/>
    <w:rsid w:val="00D6390D"/>
    <w:rsid w:val="00D71537"/>
    <w:rsid w:val="00D80974"/>
    <w:rsid w:val="00D82479"/>
    <w:rsid w:val="00D82692"/>
    <w:rsid w:val="00D9321B"/>
    <w:rsid w:val="00DB1E28"/>
    <w:rsid w:val="00DB52CB"/>
    <w:rsid w:val="00DB5397"/>
    <w:rsid w:val="00DC2CF4"/>
    <w:rsid w:val="00DD2202"/>
    <w:rsid w:val="00DD6EE7"/>
    <w:rsid w:val="00DE63DA"/>
    <w:rsid w:val="00E10064"/>
    <w:rsid w:val="00E11F07"/>
    <w:rsid w:val="00E31313"/>
    <w:rsid w:val="00E35B1E"/>
    <w:rsid w:val="00E443E0"/>
    <w:rsid w:val="00E53F69"/>
    <w:rsid w:val="00E551BD"/>
    <w:rsid w:val="00E74C68"/>
    <w:rsid w:val="00E87947"/>
    <w:rsid w:val="00E93248"/>
    <w:rsid w:val="00E97497"/>
    <w:rsid w:val="00EA192B"/>
    <w:rsid w:val="00EA1ECF"/>
    <w:rsid w:val="00EA7F4E"/>
    <w:rsid w:val="00EC2492"/>
    <w:rsid w:val="00ED19FF"/>
    <w:rsid w:val="00ED75D1"/>
    <w:rsid w:val="00EE4877"/>
    <w:rsid w:val="00EE5B33"/>
    <w:rsid w:val="00EF02A7"/>
    <w:rsid w:val="00EF2949"/>
    <w:rsid w:val="00EF6E4D"/>
    <w:rsid w:val="00F00E06"/>
    <w:rsid w:val="00F10609"/>
    <w:rsid w:val="00F16B31"/>
    <w:rsid w:val="00F213ED"/>
    <w:rsid w:val="00F21F6D"/>
    <w:rsid w:val="00F22D06"/>
    <w:rsid w:val="00F26482"/>
    <w:rsid w:val="00F41F8F"/>
    <w:rsid w:val="00F446AB"/>
    <w:rsid w:val="00F46A7D"/>
    <w:rsid w:val="00F525D1"/>
    <w:rsid w:val="00F52CA0"/>
    <w:rsid w:val="00F60426"/>
    <w:rsid w:val="00F66497"/>
    <w:rsid w:val="00F83ED4"/>
    <w:rsid w:val="00F8691E"/>
    <w:rsid w:val="00FA042F"/>
    <w:rsid w:val="00FA2388"/>
    <w:rsid w:val="00FB1F9A"/>
    <w:rsid w:val="00FB44C2"/>
    <w:rsid w:val="00FB6370"/>
    <w:rsid w:val="00FC4932"/>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69D3B-01E7-451A-85E5-AD0980A5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4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10909">
      <w:bodyDiv w:val="1"/>
      <w:marLeft w:val="0"/>
      <w:marRight w:val="0"/>
      <w:marTop w:val="0"/>
      <w:marBottom w:val="0"/>
      <w:divBdr>
        <w:top w:val="none" w:sz="0" w:space="0" w:color="auto"/>
        <w:left w:val="none" w:sz="0" w:space="0" w:color="auto"/>
        <w:bottom w:val="none" w:sz="0" w:space="0" w:color="auto"/>
        <w:right w:val="none" w:sz="0" w:space="0" w:color="auto"/>
      </w:divBdr>
      <w:divsChild>
        <w:div w:id="1074006157">
          <w:marLeft w:val="0"/>
          <w:marRight w:val="0"/>
          <w:marTop w:val="0"/>
          <w:marBottom w:val="0"/>
          <w:divBdr>
            <w:top w:val="none" w:sz="0" w:space="0" w:color="auto"/>
            <w:left w:val="none" w:sz="0" w:space="0" w:color="auto"/>
            <w:bottom w:val="none" w:sz="0" w:space="0" w:color="auto"/>
            <w:right w:val="none" w:sz="0" w:space="0" w:color="auto"/>
          </w:divBdr>
        </w:div>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229510167">
          <w:marLeft w:val="0"/>
          <w:marRight w:val="0"/>
          <w:marTop w:val="0"/>
          <w:marBottom w:val="0"/>
          <w:divBdr>
            <w:top w:val="none" w:sz="0" w:space="0" w:color="auto"/>
            <w:left w:val="none" w:sz="0" w:space="0" w:color="auto"/>
            <w:bottom w:val="none" w:sz="0" w:space="0" w:color="auto"/>
            <w:right w:val="none" w:sz="0" w:space="0" w:color="auto"/>
          </w:divBdr>
        </w:div>
        <w:div w:id="1400908699">
          <w:marLeft w:val="0"/>
          <w:marRight w:val="0"/>
          <w:marTop w:val="0"/>
          <w:marBottom w:val="0"/>
          <w:divBdr>
            <w:top w:val="none" w:sz="0" w:space="0" w:color="auto"/>
            <w:left w:val="none" w:sz="0" w:space="0" w:color="auto"/>
            <w:bottom w:val="none" w:sz="0" w:space="0" w:color="auto"/>
            <w:right w:val="none" w:sz="0" w:space="0" w:color="auto"/>
          </w:divBdr>
        </w:div>
        <w:div w:id="2008553585">
          <w:marLeft w:val="0"/>
          <w:marRight w:val="0"/>
          <w:marTop w:val="0"/>
          <w:marBottom w:val="0"/>
          <w:divBdr>
            <w:top w:val="none" w:sz="0" w:space="0" w:color="auto"/>
            <w:left w:val="none" w:sz="0" w:space="0" w:color="auto"/>
            <w:bottom w:val="none" w:sz="0" w:space="0" w:color="auto"/>
            <w:right w:val="none" w:sz="0" w:space="0" w:color="auto"/>
          </w:divBdr>
        </w:div>
        <w:div w:id="862978332">
          <w:marLeft w:val="0"/>
          <w:marRight w:val="0"/>
          <w:marTop w:val="0"/>
          <w:marBottom w:val="0"/>
          <w:divBdr>
            <w:top w:val="none" w:sz="0" w:space="0" w:color="auto"/>
            <w:left w:val="none" w:sz="0" w:space="0" w:color="auto"/>
            <w:bottom w:val="none" w:sz="0" w:space="0" w:color="auto"/>
            <w:right w:val="none" w:sz="0" w:space="0" w:color="auto"/>
          </w:divBdr>
        </w:div>
        <w:div w:id="7037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1625-C967-41B1-A2F7-5688A137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8847</Words>
  <Characters>47778</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PGM-03</cp:lastModifiedBy>
  <cp:revision>2</cp:revision>
  <cp:lastPrinted>2016-02-16T18:37:00Z</cp:lastPrinted>
  <dcterms:created xsi:type="dcterms:W3CDTF">2021-01-18T14:15:00Z</dcterms:created>
  <dcterms:modified xsi:type="dcterms:W3CDTF">2021-01-18T14:15:00Z</dcterms:modified>
</cp:coreProperties>
</file>